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6FD" w:rsidRPr="00B14CCC" w:rsidRDefault="000216FD" w:rsidP="00B14CCC">
      <w:pPr>
        <w:jc w:val="center"/>
        <w:outlineLvl w:val="0"/>
        <w:rPr>
          <w:rFonts w:ascii="Times New Roman" w:eastAsia="Times New Roman" w:hAnsi="Times New Roman" w:cs="Times New Roman"/>
          <w:b/>
          <w:bCs/>
          <w:kern w:val="36"/>
          <w:sz w:val="36"/>
          <w:szCs w:val="24"/>
        </w:rPr>
      </w:pPr>
      <w:r w:rsidRPr="00B14CCC">
        <w:rPr>
          <w:rFonts w:ascii="Times New Roman" w:eastAsia="Times New Roman" w:hAnsi="Times New Roman" w:cs="Times New Roman"/>
          <w:b/>
          <w:bCs/>
          <w:kern w:val="36"/>
          <w:sz w:val="36"/>
          <w:szCs w:val="24"/>
        </w:rPr>
        <w:t xml:space="preserve">Phytochemical Analysis of Traditional Medicinal Plants Used by Indigenous Populations: Validating Ancient Wisdom </w:t>
      </w:r>
      <w:proofErr w:type="gramStart"/>
      <w:r w:rsidRPr="00B14CCC">
        <w:rPr>
          <w:rFonts w:ascii="Times New Roman" w:eastAsia="Times New Roman" w:hAnsi="Times New Roman" w:cs="Times New Roman"/>
          <w:b/>
          <w:bCs/>
          <w:kern w:val="36"/>
          <w:sz w:val="36"/>
          <w:szCs w:val="24"/>
        </w:rPr>
        <w:t>Through</w:t>
      </w:r>
      <w:proofErr w:type="gramEnd"/>
      <w:r w:rsidRPr="00B14CCC">
        <w:rPr>
          <w:rFonts w:ascii="Times New Roman" w:eastAsia="Times New Roman" w:hAnsi="Times New Roman" w:cs="Times New Roman"/>
          <w:b/>
          <w:bCs/>
          <w:kern w:val="36"/>
          <w:sz w:val="36"/>
          <w:szCs w:val="24"/>
        </w:rPr>
        <w:t xml:space="preserve"> Modern Science</w:t>
      </w:r>
    </w:p>
    <w:p w:rsidR="00B14CCC" w:rsidRDefault="00B14CCC" w:rsidP="00B14CCC">
      <w:pPr>
        <w:spacing w:after="240"/>
        <w:jc w:val="center"/>
        <w:rPr>
          <w:rFonts w:ascii="Times New Roman" w:hAnsi="Times New Roman" w:cs="Times New Roman"/>
          <w:i/>
          <w:sz w:val="24"/>
          <w:szCs w:val="24"/>
        </w:rPr>
      </w:pPr>
      <w:r w:rsidRPr="00C93CED">
        <w:rPr>
          <w:rFonts w:ascii="Times New Roman" w:hAnsi="Times New Roman" w:cs="Times New Roman"/>
          <w:i/>
          <w:sz w:val="24"/>
          <w:szCs w:val="24"/>
        </w:rPr>
        <w:t>Prof (</w:t>
      </w:r>
      <w:proofErr w:type="spellStart"/>
      <w:r w:rsidRPr="00C93CED">
        <w:rPr>
          <w:rFonts w:ascii="Times New Roman" w:hAnsi="Times New Roman" w:cs="Times New Roman"/>
          <w:i/>
          <w:sz w:val="24"/>
          <w:szCs w:val="24"/>
        </w:rPr>
        <w:t>Dr</w:t>
      </w:r>
      <w:proofErr w:type="spellEnd"/>
      <w:r w:rsidRPr="00C93CED">
        <w:rPr>
          <w:rFonts w:ascii="Times New Roman" w:hAnsi="Times New Roman" w:cs="Times New Roman"/>
          <w:i/>
          <w:sz w:val="24"/>
          <w:szCs w:val="24"/>
        </w:rPr>
        <w:t xml:space="preserve">) Daniel </w:t>
      </w:r>
      <w:proofErr w:type="spellStart"/>
      <w:r w:rsidRPr="00C93CED">
        <w:rPr>
          <w:rFonts w:ascii="Times New Roman" w:hAnsi="Times New Roman" w:cs="Times New Roman"/>
          <w:i/>
          <w:sz w:val="24"/>
          <w:szCs w:val="24"/>
        </w:rPr>
        <w:t>Mairafi</w:t>
      </w:r>
      <w:proofErr w:type="spellEnd"/>
      <w:r w:rsidRPr="00C93CED">
        <w:rPr>
          <w:rFonts w:ascii="Times New Roman" w:hAnsi="Times New Roman" w:cs="Times New Roman"/>
          <w:i/>
          <w:sz w:val="24"/>
          <w:szCs w:val="24"/>
        </w:rPr>
        <w:t xml:space="preserve"> </w:t>
      </w:r>
      <w:proofErr w:type="spellStart"/>
      <w:r w:rsidRPr="00C93CED">
        <w:rPr>
          <w:rFonts w:ascii="Times New Roman" w:hAnsi="Times New Roman" w:cs="Times New Roman"/>
          <w:i/>
          <w:sz w:val="24"/>
          <w:szCs w:val="24"/>
        </w:rPr>
        <w:t>Gimbason</w:t>
      </w:r>
      <w:proofErr w:type="spellEnd"/>
      <w:r>
        <w:rPr>
          <w:rFonts w:ascii="Times New Roman" w:hAnsi="Times New Roman" w:cs="Times New Roman"/>
          <w:i/>
          <w:sz w:val="24"/>
          <w:szCs w:val="24"/>
        </w:rPr>
        <w:t>,</w:t>
      </w:r>
      <w:r w:rsidRPr="00C93CED">
        <w:rPr>
          <w:rFonts w:ascii="Times New Roman" w:hAnsi="Times New Roman" w:cs="Times New Roman"/>
          <w:i/>
          <w:sz w:val="24"/>
          <w:szCs w:val="24"/>
        </w:rPr>
        <w:t xml:space="preserve"> Head of Department</w:t>
      </w:r>
      <w:r>
        <w:rPr>
          <w:rFonts w:ascii="Times New Roman" w:hAnsi="Times New Roman" w:cs="Times New Roman"/>
          <w:i/>
          <w:sz w:val="24"/>
          <w:szCs w:val="24"/>
        </w:rPr>
        <w:t>,</w:t>
      </w:r>
      <w:r w:rsidRPr="00C93CED">
        <w:rPr>
          <w:rFonts w:ascii="Times New Roman" w:hAnsi="Times New Roman" w:cs="Times New Roman"/>
          <w:i/>
          <w:sz w:val="24"/>
          <w:szCs w:val="24"/>
        </w:rPr>
        <w:t xml:space="preserve"> Health Sciences</w:t>
      </w:r>
      <w:r>
        <w:rPr>
          <w:rFonts w:ascii="Times New Roman" w:hAnsi="Times New Roman" w:cs="Times New Roman"/>
          <w:i/>
          <w:sz w:val="24"/>
          <w:szCs w:val="24"/>
        </w:rPr>
        <w:t>,</w:t>
      </w:r>
      <w:r w:rsidRPr="00C93CED">
        <w:rPr>
          <w:rFonts w:ascii="Times New Roman" w:hAnsi="Times New Roman" w:cs="Times New Roman"/>
          <w:i/>
          <w:sz w:val="24"/>
          <w:szCs w:val="24"/>
        </w:rPr>
        <w:t xml:space="preserve"> </w:t>
      </w:r>
      <w:proofErr w:type="spellStart"/>
      <w:r w:rsidRPr="00C93CED">
        <w:rPr>
          <w:rFonts w:ascii="Times New Roman" w:hAnsi="Times New Roman" w:cs="Times New Roman"/>
          <w:i/>
          <w:sz w:val="24"/>
          <w:szCs w:val="24"/>
        </w:rPr>
        <w:t>Nasarawa</w:t>
      </w:r>
      <w:proofErr w:type="spellEnd"/>
      <w:r w:rsidRPr="00C93CED">
        <w:rPr>
          <w:rFonts w:ascii="Times New Roman" w:hAnsi="Times New Roman" w:cs="Times New Roman"/>
          <w:i/>
          <w:sz w:val="24"/>
          <w:szCs w:val="24"/>
        </w:rPr>
        <w:t xml:space="preserve"> State University </w:t>
      </w:r>
      <w:proofErr w:type="spellStart"/>
      <w:r w:rsidRPr="00C93CED">
        <w:rPr>
          <w:rFonts w:ascii="Times New Roman" w:hAnsi="Times New Roman" w:cs="Times New Roman"/>
          <w:i/>
          <w:sz w:val="24"/>
          <w:szCs w:val="24"/>
        </w:rPr>
        <w:t>Keffi</w:t>
      </w:r>
      <w:proofErr w:type="spellEnd"/>
      <w:r w:rsidRPr="00C93CED">
        <w:rPr>
          <w:rFonts w:ascii="Times New Roman" w:hAnsi="Times New Roman" w:cs="Times New Roman"/>
          <w:i/>
          <w:sz w:val="24"/>
          <w:szCs w:val="24"/>
        </w:rPr>
        <w:t xml:space="preserve">, </w:t>
      </w:r>
      <w:proofErr w:type="spellStart"/>
      <w:r w:rsidRPr="00C93CED">
        <w:rPr>
          <w:rFonts w:ascii="Times New Roman" w:hAnsi="Times New Roman" w:cs="Times New Roman"/>
          <w:i/>
          <w:sz w:val="24"/>
          <w:szCs w:val="24"/>
        </w:rPr>
        <w:t>Nasarawa</w:t>
      </w:r>
      <w:proofErr w:type="spellEnd"/>
      <w:r w:rsidRPr="00C93CED">
        <w:rPr>
          <w:rFonts w:ascii="Times New Roman" w:hAnsi="Times New Roman" w:cs="Times New Roman"/>
          <w:i/>
          <w:sz w:val="24"/>
          <w:szCs w:val="24"/>
        </w:rPr>
        <w:t xml:space="preserve"> State, Nigeria </w:t>
      </w:r>
    </w:p>
    <w:p w:rsidR="00B14CCC" w:rsidRDefault="00B14CCC" w:rsidP="00B14CCC">
      <w:pPr>
        <w:jc w:val="both"/>
        <w:outlineLvl w:val="1"/>
        <w:rPr>
          <w:rFonts w:ascii="Times New Roman" w:eastAsia="Times New Roman" w:hAnsi="Times New Roman" w:cs="Times New Roman"/>
          <w:b/>
          <w:bCs/>
          <w:sz w:val="24"/>
          <w:szCs w:val="24"/>
        </w:rPr>
      </w:pPr>
    </w:p>
    <w:p w:rsidR="000216FD" w:rsidRPr="00B14CCC" w:rsidRDefault="000216FD" w:rsidP="00B14CCC">
      <w:pPr>
        <w:shd w:val="clear" w:color="auto" w:fill="EAF1DD" w:themeFill="accent3" w:themeFillTint="33"/>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Abstract</w:t>
      </w:r>
    </w:p>
    <w:p w:rsidR="000216FD" w:rsidRPr="00B14CCC" w:rsidRDefault="000216FD" w:rsidP="00B14CCC">
      <w:pPr>
        <w:shd w:val="clear" w:color="auto" w:fill="EAF1DD" w:themeFill="accent3" w:themeFillTint="33"/>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Traditional medicinal plants have served as the cornerstone of indigenous healthcare systems for millennia, representing an invaluable repository of </w:t>
      </w:r>
      <w:proofErr w:type="spellStart"/>
      <w:r w:rsidRPr="00B14CCC">
        <w:rPr>
          <w:rFonts w:ascii="Times New Roman" w:eastAsia="Times New Roman" w:hAnsi="Times New Roman" w:cs="Times New Roman"/>
          <w:sz w:val="24"/>
          <w:szCs w:val="24"/>
        </w:rPr>
        <w:t>ethnopharmacological</w:t>
      </w:r>
      <w:proofErr w:type="spellEnd"/>
      <w:r w:rsidRPr="00B14CCC">
        <w:rPr>
          <w:rFonts w:ascii="Times New Roman" w:eastAsia="Times New Roman" w:hAnsi="Times New Roman" w:cs="Times New Roman"/>
          <w:sz w:val="24"/>
          <w:szCs w:val="24"/>
        </w:rPr>
        <w:t xml:space="preserve"> knowledge. This comprehensive review examines the phytochemical composition of selected medicinal plants traditionally utilized by indigenous populations across diverse geographical regions, with particular emphasis on the scientific validation of their therapeutic properties through contemporary analytical methodologies. Recent advances in phytochemical screening, including high-performance liquid chromatography (HPLC), gas chromatography-mass spectrometry (GC-MS), and nuclear magnetic resonance (NMR) spectroscopy, have enabled researchers to identify and quantify bioactive compounds responsible for the documented therapeutic effects. This investigation synthesizes current scientific evidence supporting the pharmacological efficacy of traditional medicinal plants, thereby bridging the gap between ancestral wisdom and modern pharmaceutical science. The findings demonstrate significant correlations between indigenous applications and scientifically validated bioactivities, particularly in antimicrobial, anti-inflammatory, antioxidant, and anticancer properties. Furthermore, this review highlights the potential for drug discovery and development based on </w:t>
      </w:r>
      <w:proofErr w:type="spellStart"/>
      <w:r w:rsidRPr="00B14CCC">
        <w:rPr>
          <w:rFonts w:ascii="Times New Roman" w:eastAsia="Times New Roman" w:hAnsi="Times New Roman" w:cs="Times New Roman"/>
          <w:sz w:val="24"/>
          <w:szCs w:val="24"/>
        </w:rPr>
        <w:t>ethnobotanical</w:t>
      </w:r>
      <w:proofErr w:type="spellEnd"/>
      <w:r w:rsidRPr="00B14CCC">
        <w:rPr>
          <w:rFonts w:ascii="Times New Roman" w:eastAsia="Times New Roman" w:hAnsi="Times New Roman" w:cs="Times New Roman"/>
          <w:sz w:val="24"/>
          <w:szCs w:val="24"/>
        </w:rPr>
        <w:t xml:space="preserve"> knowledge, while emphasizing the critical importance of preserving indigenous intellectual property rights and promoting sustainable harvesting practices. The integration of traditional knowledge with contemporary scientific methodologies represents a promising paradigm for identifying novel therapeutic agents and validating time-tested healing practices, ultimately contributing to global healthcare advancement and biodiversity conservation.</w:t>
      </w:r>
    </w:p>
    <w:p w:rsidR="000216FD" w:rsidRPr="00B14CCC" w:rsidRDefault="000216FD" w:rsidP="00B14CCC">
      <w:pPr>
        <w:shd w:val="clear" w:color="auto" w:fill="EAF1DD" w:themeFill="accent3" w:themeFillTint="33"/>
        <w:jc w:val="both"/>
        <w:rPr>
          <w:rFonts w:ascii="Times New Roman" w:eastAsia="Times New Roman" w:hAnsi="Times New Roman" w:cs="Times New Roman"/>
          <w:sz w:val="24"/>
          <w:szCs w:val="24"/>
        </w:rPr>
      </w:pPr>
      <w:r w:rsidRPr="00B14CCC">
        <w:rPr>
          <w:rFonts w:ascii="Times New Roman" w:eastAsia="Times New Roman" w:hAnsi="Times New Roman" w:cs="Times New Roman"/>
          <w:b/>
          <w:bCs/>
          <w:sz w:val="24"/>
          <w:szCs w:val="24"/>
        </w:rPr>
        <w:t>Keywords:</w:t>
      </w:r>
      <w:r w:rsidRPr="00B14CCC">
        <w:rPr>
          <w:rFonts w:ascii="Times New Roman" w:eastAsia="Times New Roman" w:hAnsi="Times New Roman" w:cs="Times New Roman"/>
          <w:sz w:val="24"/>
          <w:szCs w:val="24"/>
        </w:rPr>
        <w:t xml:space="preserve"> Phytochemical analysis, traditional medicine, indigenous knowledge, </w:t>
      </w:r>
      <w:proofErr w:type="spellStart"/>
      <w:r w:rsidRPr="00B14CCC">
        <w:rPr>
          <w:rFonts w:ascii="Times New Roman" w:eastAsia="Times New Roman" w:hAnsi="Times New Roman" w:cs="Times New Roman"/>
          <w:sz w:val="24"/>
          <w:szCs w:val="24"/>
        </w:rPr>
        <w:t>ethnopharmacology</w:t>
      </w:r>
      <w:proofErr w:type="spellEnd"/>
      <w:r w:rsidRPr="00B14CCC">
        <w:rPr>
          <w:rFonts w:ascii="Times New Roman" w:eastAsia="Times New Roman" w:hAnsi="Times New Roman" w:cs="Times New Roman"/>
          <w:sz w:val="24"/>
          <w:szCs w:val="24"/>
        </w:rPr>
        <w:t>, bioactive compounds, drug discovery</w:t>
      </w:r>
    </w:p>
    <w:p w:rsidR="000216FD" w:rsidRPr="00B14CCC" w:rsidRDefault="000216FD"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1. Introduction</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utilization of medicinal plants represents one of humanity's oldest therapeutic approaches, with archaeological evidence suggesting their use dating back approximately 60,000 years (</w:t>
      </w:r>
      <w:proofErr w:type="spellStart"/>
      <w:r w:rsidRPr="00B14CCC">
        <w:rPr>
          <w:rFonts w:ascii="Times New Roman" w:eastAsia="Times New Roman" w:hAnsi="Times New Roman" w:cs="Times New Roman"/>
          <w:sz w:val="24"/>
          <w:szCs w:val="24"/>
        </w:rPr>
        <w:t>Petrovska</w:t>
      </w:r>
      <w:proofErr w:type="spellEnd"/>
      <w:r w:rsidRPr="00B14CCC">
        <w:rPr>
          <w:rFonts w:ascii="Times New Roman" w:eastAsia="Times New Roman" w:hAnsi="Times New Roman" w:cs="Times New Roman"/>
          <w:sz w:val="24"/>
          <w:szCs w:val="24"/>
        </w:rPr>
        <w:t xml:space="preserve">, 2012). Indigenous populations worldwide have accumulated extensive knowledge regarding the medicinal properties of local flora through centuries of empirical observation, experimentation, and intergenerational transmission of </w:t>
      </w:r>
      <w:proofErr w:type="spellStart"/>
      <w:r w:rsidRPr="00B14CCC">
        <w:rPr>
          <w:rFonts w:ascii="Times New Roman" w:eastAsia="Times New Roman" w:hAnsi="Times New Roman" w:cs="Times New Roman"/>
          <w:sz w:val="24"/>
          <w:szCs w:val="24"/>
        </w:rPr>
        <w:t>ethnobotanical</w:t>
      </w:r>
      <w:proofErr w:type="spellEnd"/>
      <w:r w:rsidRPr="00B14CCC">
        <w:rPr>
          <w:rFonts w:ascii="Times New Roman" w:eastAsia="Times New Roman" w:hAnsi="Times New Roman" w:cs="Times New Roman"/>
          <w:sz w:val="24"/>
          <w:szCs w:val="24"/>
        </w:rPr>
        <w:t xml:space="preserve"> wisdom. This accumulated knowledge has provided the foundation for numerous modern pharmaceutical discoveries, with the World Health Organization estimating that </w:t>
      </w:r>
      <w:r w:rsidRPr="00B14CCC">
        <w:rPr>
          <w:rFonts w:ascii="Times New Roman" w:eastAsia="Times New Roman" w:hAnsi="Times New Roman" w:cs="Times New Roman"/>
          <w:sz w:val="24"/>
          <w:szCs w:val="24"/>
        </w:rPr>
        <w:lastRenderedPageBreak/>
        <w:t>approximately 80% of the global population relies on traditional medicine for primary healthcare needs, particularly in developing nations (</w:t>
      </w:r>
      <w:proofErr w:type="spellStart"/>
      <w:r w:rsidRPr="00B14CCC">
        <w:rPr>
          <w:rFonts w:ascii="Times New Roman" w:eastAsia="Times New Roman" w:hAnsi="Times New Roman" w:cs="Times New Roman"/>
          <w:sz w:val="24"/>
          <w:szCs w:val="24"/>
        </w:rPr>
        <w:t>Ekor</w:t>
      </w:r>
      <w:proofErr w:type="spellEnd"/>
      <w:r w:rsidRPr="00B14CCC">
        <w:rPr>
          <w:rFonts w:ascii="Times New Roman" w:eastAsia="Times New Roman" w:hAnsi="Times New Roman" w:cs="Times New Roman"/>
          <w:sz w:val="24"/>
          <w:szCs w:val="24"/>
        </w:rPr>
        <w:t>, 2014). The relationship between indigenous communities and their natural environments has fostered sophisticated understanding of plant-based therapeutics, often surpassing contemporary scientific knowledge in terms of practical application and holistic treatment approaches.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Traditional medicinal systems, including Ayurveda, Traditional Chinese Medicine (TCM), African traditional medicine, and Native American healing practices, have contributed substantially to the global pharmacopoeia. </w:t>
      </w:r>
      <w:proofErr w:type="gramStart"/>
      <w:r w:rsidRPr="00B14CCC">
        <w:rPr>
          <w:rFonts w:ascii="Times New Roman" w:eastAsia="Times New Roman" w:hAnsi="Times New Roman" w:cs="Times New Roman"/>
          <w:sz w:val="24"/>
          <w:szCs w:val="24"/>
        </w:rPr>
        <w:t xml:space="preserve">Historical analysis reveals that approximately 25% of modern pharmaceutical compounds are derived directly or indirectly from plant sources, with many originating from leads provided by traditional medicine (Newman &amp; </w:t>
      </w:r>
      <w:proofErr w:type="spellStart"/>
      <w:r w:rsidRPr="00B14CCC">
        <w:rPr>
          <w:rFonts w:ascii="Times New Roman" w:eastAsia="Times New Roman" w:hAnsi="Times New Roman" w:cs="Times New Roman"/>
          <w:sz w:val="24"/>
          <w:szCs w:val="24"/>
        </w:rPr>
        <w:t>Cragg</w:t>
      </w:r>
      <w:proofErr w:type="spellEnd"/>
      <w:r w:rsidRPr="00B14CCC">
        <w:rPr>
          <w:rFonts w:ascii="Times New Roman" w:eastAsia="Times New Roman" w:hAnsi="Times New Roman" w:cs="Times New Roman"/>
          <w:sz w:val="24"/>
          <w:szCs w:val="24"/>
        </w:rPr>
        <w:t>, 2020).</w:t>
      </w:r>
      <w:proofErr w:type="gramEnd"/>
      <w:r w:rsidRPr="00B14CCC">
        <w:rPr>
          <w:rFonts w:ascii="Times New Roman" w:eastAsia="Times New Roman" w:hAnsi="Times New Roman" w:cs="Times New Roman"/>
          <w:sz w:val="24"/>
          <w:szCs w:val="24"/>
        </w:rPr>
        <w:t xml:space="preserve"> Notable examples include aspirin from willow bark (</w:t>
      </w:r>
      <w:r w:rsidRPr="00B14CCC">
        <w:rPr>
          <w:rFonts w:ascii="Times New Roman" w:eastAsia="Times New Roman" w:hAnsi="Times New Roman" w:cs="Times New Roman"/>
          <w:i/>
          <w:iCs/>
          <w:sz w:val="24"/>
          <w:szCs w:val="24"/>
        </w:rPr>
        <w:t>Salix</w:t>
      </w:r>
      <w:r w:rsidRPr="00B14CCC">
        <w:rPr>
          <w:rFonts w:ascii="Times New Roman" w:eastAsia="Times New Roman" w:hAnsi="Times New Roman" w:cs="Times New Roman"/>
          <w:sz w:val="24"/>
          <w:szCs w:val="24"/>
        </w:rPr>
        <w:t xml:space="preserve"> species), the antimalarial drug </w:t>
      </w:r>
      <w:proofErr w:type="spellStart"/>
      <w:r w:rsidRPr="00B14CCC">
        <w:rPr>
          <w:rFonts w:ascii="Times New Roman" w:eastAsia="Times New Roman" w:hAnsi="Times New Roman" w:cs="Times New Roman"/>
          <w:sz w:val="24"/>
          <w:szCs w:val="24"/>
        </w:rPr>
        <w:t>artemisinin</w:t>
      </w:r>
      <w:proofErr w:type="spellEnd"/>
      <w:r w:rsidRPr="00B14CCC">
        <w:rPr>
          <w:rFonts w:ascii="Times New Roman" w:eastAsia="Times New Roman" w:hAnsi="Times New Roman" w:cs="Times New Roman"/>
          <w:sz w:val="24"/>
          <w:szCs w:val="24"/>
        </w:rPr>
        <w:t xml:space="preserve"> from </w:t>
      </w:r>
      <w:r w:rsidRPr="00B14CCC">
        <w:rPr>
          <w:rFonts w:ascii="Times New Roman" w:eastAsia="Times New Roman" w:hAnsi="Times New Roman" w:cs="Times New Roman"/>
          <w:i/>
          <w:iCs/>
          <w:sz w:val="24"/>
          <w:szCs w:val="24"/>
        </w:rPr>
        <w:t xml:space="preserve">Artemisia </w:t>
      </w:r>
      <w:proofErr w:type="spellStart"/>
      <w:r w:rsidRPr="00B14CCC">
        <w:rPr>
          <w:rFonts w:ascii="Times New Roman" w:eastAsia="Times New Roman" w:hAnsi="Times New Roman" w:cs="Times New Roman"/>
          <w:i/>
          <w:iCs/>
          <w:sz w:val="24"/>
          <w:szCs w:val="24"/>
        </w:rPr>
        <w:t>annua</w:t>
      </w:r>
      <w:proofErr w:type="spellEnd"/>
      <w:r w:rsidRPr="00B14CCC">
        <w:rPr>
          <w:rFonts w:ascii="Times New Roman" w:eastAsia="Times New Roman" w:hAnsi="Times New Roman" w:cs="Times New Roman"/>
          <w:sz w:val="24"/>
          <w:szCs w:val="24"/>
        </w:rPr>
        <w:t xml:space="preserve">, and the anticancer </w:t>
      </w:r>
      <w:proofErr w:type="gramStart"/>
      <w:r w:rsidRPr="00B14CCC">
        <w:rPr>
          <w:rFonts w:ascii="Times New Roman" w:eastAsia="Times New Roman" w:hAnsi="Times New Roman" w:cs="Times New Roman"/>
          <w:sz w:val="24"/>
          <w:szCs w:val="24"/>
        </w:rPr>
        <w:t>agents</w:t>
      </w:r>
      <w:proofErr w:type="gramEnd"/>
      <w:r w:rsidRPr="00B14CCC">
        <w:rPr>
          <w:rFonts w:ascii="Times New Roman" w:eastAsia="Times New Roman" w:hAnsi="Times New Roman" w:cs="Times New Roman"/>
          <w:sz w:val="24"/>
          <w:szCs w:val="24"/>
        </w:rPr>
        <w:t xml:space="preserve"> paclitaxel from </w:t>
      </w:r>
      <w:proofErr w:type="spellStart"/>
      <w:r w:rsidRPr="00B14CCC">
        <w:rPr>
          <w:rFonts w:ascii="Times New Roman" w:eastAsia="Times New Roman" w:hAnsi="Times New Roman" w:cs="Times New Roman"/>
          <w:i/>
          <w:iCs/>
          <w:sz w:val="24"/>
          <w:szCs w:val="24"/>
        </w:rPr>
        <w:t>Taxus</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brevifolia</w:t>
      </w:r>
      <w:proofErr w:type="spellEnd"/>
      <w:r w:rsidRPr="00B14CCC">
        <w:rPr>
          <w:rFonts w:ascii="Times New Roman" w:eastAsia="Times New Roman" w:hAnsi="Times New Roman" w:cs="Times New Roman"/>
          <w:sz w:val="24"/>
          <w:szCs w:val="24"/>
        </w:rPr>
        <w:t xml:space="preserve"> and vincristine from </w:t>
      </w:r>
      <w:proofErr w:type="spellStart"/>
      <w:r w:rsidRPr="00B14CCC">
        <w:rPr>
          <w:rFonts w:ascii="Times New Roman" w:eastAsia="Times New Roman" w:hAnsi="Times New Roman" w:cs="Times New Roman"/>
          <w:i/>
          <w:iCs/>
          <w:sz w:val="24"/>
          <w:szCs w:val="24"/>
        </w:rPr>
        <w:t>Catharanthus</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roseus</w:t>
      </w:r>
      <w:proofErr w:type="spellEnd"/>
      <w:r w:rsidRPr="00B14CCC">
        <w:rPr>
          <w:rFonts w:ascii="Times New Roman" w:eastAsia="Times New Roman" w:hAnsi="Times New Roman" w:cs="Times New Roman"/>
          <w:sz w:val="24"/>
          <w:szCs w:val="24"/>
        </w:rPr>
        <w:t xml:space="preserve">. These successes underscore the immense potential of </w:t>
      </w:r>
      <w:proofErr w:type="spellStart"/>
      <w:r w:rsidRPr="00B14CCC">
        <w:rPr>
          <w:rFonts w:ascii="Times New Roman" w:eastAsia="Times New Roman" w:hAnsi="Times New Roman" w:cs="Times New Roman"/>
          <w:sz w:val="24"/>
          <w:szCs w:val="24"/>
        </w:rPr>
        <w:t>ethnopharmacological</w:t>
      </w:r>
      <w:proofErr w:type="spellEnd"/>
      <w:r w:rsidRPr="00B14CCC">
        <w:rPr>
          <w:rFonts w:ascii="Times New Roman" w:eastAsia="Times New Roman" w:hAnsi="Times New Roman" w:cs="Times New Roman"/>
          <w:sz w:val="24"/>
          <w:szCs w:val="24"/>
        </w:rPr>
        <w:t xml:space="preserve"> research in identifying novel therapeutic compounds and validating traditional applications through rigorous scientific investigation.</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convergence of traditional knowledge and modern analytical chemistry has created unprecedented opportunities for systematic investigation of medicinal plant properties. Contemporary phytochemical analysis employs sophisticated instrumentation and methodologies that enable comprehensive characterization of plant constituents at molecular levels previously unattainable. Techniques such as ultra-performance liquid chromatography coupled with mass spectrometry (UPLC-MS), two-dimensional nuclear magnetic resonance spectroscopy (2D-NMR), and metabolomics approaches facilitate identification and quantification of complex mixtures of bioactive compounds, including alkaloids, flavonoids, </w:t>
      </w:r>
      <w:proofErr w:type="spellStart"/>
      <w:r w:rsidRPr="00B14CCC">
        <w:rPr>
          <w:rFonts w:ascii="Times New Roman" w:eastAsia="Times New Roman" w:hAnsi="Times New Roman" w:cs="Times New Roman"/>
          <w:sz w:val="24"/>
          <w:szCs w:val="24"/>
        </w:rPr>
        <w:t>terpenoids</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saponins</w:t>
      </w:r>
      <w:proofErr w:type="spellEnd"/>
      <w:r w:rsidRPr="00B14CCC">
        <w:rPr>
          <w:rFonts w:ascii="Times New Roman" w:eastAsia="Times New Roman" w:hAnsi="Times New Roman" w:cs="Times New Roman"/>
          <w:sz w:val="24"/>
          <w:szCs w:val="24"/>
        </w:rPr>
        <w:t>, tannins, and phenolic acids (</w:t>
      </w:r>
      <w:proofErr w:type="spellStart"/>
      <w:r w:rsidRPr="00B14CCC">
        <w:rPr>
          <w:rFonts w:ascii="Times New Roman" w:eastAsia="Times New Roman" w:hAnsi="Times New Roman" w:cs="Times New Roman"/>
          <w:sz w:val="24"/>
          <w:szCs w:val="24"/>
        </w:rPr>
        <w:t>Atanasov</w:t>
      </w:r>
      <w:proofErr w:type="spellEnd"/>
      <w:r w:rsidRPr="00B14CCC">
        <w:rPr>
          <w:rFonts w:ascii="Times New Roman" w:eastAsia="Times New Roman" w:hAnsi="Times New Roman" w:cs="Times New Roman"/>
          <w:sz w:val="24"/>
          <w:szCs w:val="24"/>
        </w:rPr>
        <w:t xml:space="preserve"> et al., 2015). This analytical precision allows researchers to correlate specific phytochemical profiles with documented therapeutic effects, thereby providing mechanistic insights into traditional healing practices.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Despite the considerable promise of </w:t>
      </w:r>
      <w:proofErr w:type="spellStart"/>
      <w:r w:rsidRPr="00B14CCC">
        <w:rPr>
          <w:rFonts w:ascii="Times New Roman" w:eastAsia="Times New Roman" w:hAnsi="Times New Roman" w:cs="Times New Roman"/>
          <w:sz w:val="24"/>
          <w:szCs w:val="24"/>
        </w:rPr>
        <w:t>ethnopharmacological</w:t>
      </w:r>
      <w:proofErr w:type="spellEnd"/>
      <w:r w:rsidRPr="00B14CCC">
        <w:rPr>
          <w:rFonts w:ascii="Times New Roman" w:eastAsia="Times New Roman" w:hAnsi="Times New Roman" w:cs="Times New Roman"/>
          <w:sz w:val="24"/>
          <w:szCs w:val="24"/>
        </w:rPr>
        <w:t xml:space="preserve"> research, numerous challenges persist in validating traditional medicinal knowledge through scientific frameworks. Issues related to standardization, reproducibility, quality control, and the complexity of multi-component herbal preparations present significant methodological obstacles. Additionally, concerns regarding intellectual property rights, benefit-sharing arrangements, and the potential exploitation of indigenous knowledge necessitate careful ethical consideration and implementation of appropriate regulatory frameworks (Bannerman et al., 2015). The Convention on Biological Diversity and the Nagoya Protocol have established guidelines for equitable sharing of benefits arising from the utilization of genetic resources and associated traditional knowledge, yet implementation remains inconsistent across different jurisdictions.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This comprehensive review examines the phytochemical composition and validated biological activities of selected medicinal plants traditionally employed by indigenous populations worldwide. The investigation emphasizes the scientific substantiation of traditional applications through modern analytical and pharmacological methodologies, while acknowledging the cultural significance and holistic context of indigenous healing systems. </w:t>
      </w:r>
      <w:r w:rsidRPr="00B14CCC">
        <w:rPr>
          <w:rFonts w:ascii="Times New Roman" w:eastAsia="Times New Roman" w:hAnsi="Times New Roman" w:cs="Times New Roman"/>
          <w:sz w:val="24"/>
          <w:szCs w:val="24"/>
        </w:rPr>
        <w:lastRenderedPageBreak/>
        <w:t xml:space="preserve">By synthesizing current research findings, this work aims to demonstrate the complementary nature of traditional wisdom and contemporary science, highlighting opportunities for drug discovery, therapeutic innovation, and the preservation of valuable </w:t>
      </w:r>
      <w:proofErr w:type="spellStart"/>
      <w:r w:rsidRPr="00B14CCC">
        <w:rPr>
          <w:rFonts w:ascii="Times New Roman" w:eastAsia="Times New Roman" w:hAnsi="Times New Roman" w:cs="Times New Roman"/>
          <w:sz w:val="24"/>
          <w:szCs w:val="24"/>
        </w:rPr>
        <w:t>ethnobotanical</w:t>
      </w:r>
      <w:proofErr w:type="spellEnd"/>
      <w:r w:rsidRPr="00B14CCC">
        <w:rPr>
          <w:rFonts w:ascii="Times New Roman" w:eastAsia="Times New Roman" w:hAnsi="Times New Roman" w:cs="Times New Roman"/>
          <w:sz w:val="24"/>
          <w:szCs w:val="24"/>
        </w:rPr>
        <w:t xml:space="preserve"> knowledge. Furthermore, this review addresses the critical importance of sustainable harvesting practices, conservation strategies, and ethical frameworks that respect indigenous rights while facilitating scientific advancement.</w:t>
      </w:r>
    </w:p>
    <w:p w:rsidR="000216FD" w:rsidRPr="00B14CCC" w:rsidRDefault="000216FD"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2. Historical Perspectives on Indigenous Medicine</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Indigenous medical systems represent sophisticated knowledge frameworks developed through millennia of careful observation, experimentation, and cultural transmission. These systems are characterized by holistic approaches that consider the interconnectedness of physical, mental, spiritual, and environmental factors in health and disease. Unlike the reductionist paradigm predominant in Western biomedicine, indigenous healing practices typically emphasize prevention, balance, and the restoration of harmony within the individual and between the individual and their environment (</w:t>
      </w:r>
      <w:proofErr w:type="spellStart"/>
      <w:r w:rsidRPr="00B14CCC">
        <w:rPr>
          <w:rFonts w:ascii="Times New Roman" w:eastAsia="Times New Roman" w:hAnsi="Times New Roman" w:cs="Times New Roman"/>
          <w:sz w:val="24"/>
          <w:szCs w:val="24"/>
        </w:rPr>
        <w:t>Alves</w:t>
      </w:r>
      <w:proofErr w:type="spellEnd"/>
      <w:r w:rsidRPr="00B14CCC">
        <w:rPr>
          <w:rFonts w:ascii="Times New Roman" w:eastAsia="Times New Roman" w:hAnsi="Times New Roman" w:cs="Times New Roman"/>
          <w:sz w:val="24"/>
          <w:szCs w:val="24"/>
        </w:rPr>
        <w:t xml:space="preserve"> &amp; Rosa, 2007). This holistic perspective has contributed to the development of complex therapeutic strategies that often involve combinations of medicinal plants, dietary modifications, spiritual practices, and lifestyle interventions.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documentation of indigenous medicinal knowledge presents both opportunities and challenges for contemporary research. Early </w:t>
      </w:r>
      <w:proofErr w:type="spellStart"/>
      <w:r w:rsidRPr="00B14CCC">
        <w:rPr>
          <w:rFonts w:ascii="Times New Roman" w:eastAsia="Times New Roman" w:hAnsi="Times New Roman" w:cs="Times New Roman"/>
          <w:sz w:val="24"/>
          <w:szCs w:val="24"/>
        </w:rPr>
        <w:t>ethnobotanical</w:t>
      </w:r>
      <w:proofErr w:type="spellEnd"/>
      <w:r w:rsidRPr="00B14CCC">
        <w:rPr>
          <w:rFonts w:ascii="Times New Roman" w:eastAsia="Times New Roman" w:hAnsi="Times New Roman" w:cs="Times New Roman"/>
          <w:sz w:val="24"/>
          <w:szCs w:val="24"/>
        </w:rPr>
        <w:t xml:space="preserve"> records, such as the </w:t>
      </w:r>
      <w:proofErr w:type="spellStart"/>
      <w:r w:rsidRPr="00B14CCC">
        <w:rPr>
          <w:rFonts w:ascii="Times New Roman" w:eastAsia="Times New Roman" w:hAnsi="Times New Roman" w:cs="Times New Roman"/>
          <w:sz w:val="24"/>
          <w:szCs w:val="24"/>
        </w:rPr>
        <w:t>Ebers</w:t>
      </w:r>
      <w:proofErr w:type="spellEnd"/>
      <w:r w:rsidRPr="00B14CCC">
        <w:rPr>
          <w:rFonts w:ascii="Times New Roman" w:eastAsia="Times New Roman" w:hAnsi="Times New Roman" w:cs="Times New Roman"/>
          <w:sz w:val="24"/>
          <w:szCs w:val="24"/>
        </w:rPr>
        <w:t xml:space="preserve"> Papyrus from ancient Egypt (circa 1550 BCE) and the </w:t>
      </w:r>
      <w:proofErr w:type="spellStart"/>
      <w:r w:rsidRPr="00B14CCC">
        <w:rPr>
          <w:rFonts w:ascii="Times New Roman" w:eastAsia="Times New Roman" w:hAnsi="Times New Roman" w:cs="Times New Roman"/>
          <w:i/>
          <w:iCs/>
          <w:sz w:val="24"/>
          <w:szCs w:val="24"/>
        </w:rPr>
        <w:t>Shennong</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Bencaojing</w:t>
      </w:r>
      <w:proofErr w:type="spellEnd"/>
      <w:r w:rsidRPr="00B14CCC">
        <w:rPr>
          <w:rFonts w:ascii="Times New Roman" w:eastAsia="Times New Roman" w:hAnsi="Times New Roman" w:cs="Times New Roman"/>
          <w:sz w:val="24"/>
          <w:szCs w:val="24"/>
        </w:rPr>
        <w:t xml:space="preserve"> (Divine Farmer's </w:t>
      </w:r>
      <w:proofErr w:type="spellStart"/>
      <w:r w:rsidRPr="00B14CCC">
        <w:rPr>
          <w:rFonts w:ascii="Times New Roman" w:eastAsia="Times New Roman" w:hAnsi="Times New Roman" w:cs="Times New Roman"/>
          <w:sz w:val="24"/>
          <w:szCs w:val="24"/>
        </w:rPr>
        <w:t>Materia</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Medica</w:t>
      </w:r>
      <w:proofErr w:type="spellEnd"/>
      <w:r w:rsidRPr="00B14CCC">
        <w:rPr>
          <w:rFonts w:ascii="Times New Roman" w:eastAsia="Times New Roman" w:hAnsi="Times New Roman" w:cs="Times New Roman"/>
          <w:sz w:val="24"/>
          <w:szCs w:val="24"/>
        </w:rPr>
        <w:t xml:space="preserve">) from China (compiled around 200-250 CE), provide historical evidence of systematic plant medicine use in ancient civilizations. These historical texts describe hundreds of medicinal plants and their applications, many of which continue to be validated through modern scientific investigation (Heinrich et al., 2020). Indigenous knowledge transmission traditionally occurred through oral traditions, apprenticeships, and ceremonial practices, creating challenges for documentation and preservation in contemporary contexts. The loss of indigenous languages and traditional practices due to globalization, urbanization, and cultural assimilation has resulted in the erosion of valuable </w:t>
      </w:r>
      <w:proofErr w:type="spellStart"/>
      <w:r w:rsidRPr="00B14CCC">
        <w:rPr>
          <w:rFonts w:ascii="Times New Roman" w:eastAsia="Times New Roman" w:hAnsi="Times New Roman" w:cs="Times New Roman"/>
          <w:sz w:val="24"/>
          <w:szCs w:val="24"/>
        </w:rPr>
        <w:t>ethnobotanical</w:t>
      </w:r>
      <w:proofErr w:type="spellEnd"/>
      <w:r w:rsidRPr="00B14CCC">
        <w:rPr>
          <w:rFonts w:ascii="Times New Roman" w:eastAsia="Times New Roman" w:hAnsi="Times New Roman" w:cs="Times New Roman"/>
          <w:sz w:val="24"/>
          <w:szCs w:val="24"/>
        </w:rPr>
        <w:t xml:space="preserve"> knowledge, highlighting the urgency of systematic documentation and preservation efforts.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Ethnographic research conducted across diverse geographical regions has revealed remarkable convergences in medicinal plant usage, suggesting independent discoveries of similar therapeutic applications. Comparative studies have identified numerous plant species used for analogous purposes by geographically and culturally distinct indigenous populations, indicating empirically validated therapeutic effects. For example, various species of </w:t>
      </w:r>
      <w:r w:rsidRPr="00B14CCC">
        <w:rPr>
          <w:rFonts w:ascii="Times New Roman" w:eastAsia="Times New Roman" w:hAnsi="Times New Roman" w:cs="Times New Roman"/>
          <w:i/>
          <w:iCs/>
          <w:sz w:val="24"/>
          <w:szCs w:val="24"/>
        </w:rPr>
        <w:t>Artemisia</w:t>
      </w:r>
      <w:r w:rsidRPr="00B14CCC">
        <w:rPr>
          <w:rFonts w:ascii="Times New Roman" w:eastAsia="Times New Roman" w:hAnsi="Times New Roman" w:cs="Times New Roman"/>
          <w:sz w:val="24"/>
          <w:szCs w:val="24"/>
        </w:rPr>
        <w:t xml:space="preserve"> have been employed as antimalarial treatments by indigenous populations across Africa, Asia, and the Americas, a convergence that ultimately led to the isolation of </w:t>
      </w:r>
      <w:proofErr w:type="spellStart"/>
      <w:r w:rsidRPr="00B14CCC">
        <w:rPr>
          <w:rFonts w:ascii="Times New Roman" w:eastAsia="Times New Roman" w:hAnsi="Times New Roman" w:cs="Times New Roman"/>
          <w:sz w:val="24"/>
          <w:szCs w:val="24"/>
        </w:rPr>
        <w:t>artemisinin</w:t>
      </w:r>
      <w:proofErr w:type="spellEnd"/>
      <w:r w:rsidRPr="00B14CCC">
        <w:rPr>
          <w:rFonts w:ascii="Times New Roman" w:eastAsia="Times New Roman" w:hAnsi="Times New Roman" w:cs="Times New Roman"/>
          <w:sz w:val="24"/>
          <w:szCs w:val="24"/>
        </w:rPr>
        <w:t xml:space="preserve"> and the development of </w:t>
      </w:r>
      <w:proofErr w:type="spellStart"/>
      <w:r w:rsidRPr="00B14CCC">
        <w:rPr>
          <w:rFonts w:ascii="Times New Roman" w:eastAsia="Times New Roman" w:hAnsi="Times New Roman" w:cs="Times New Roman"/>
          <w:sz w:val="24"/>
          <w:szCs w:val="24"/>
        </w:rPr>
        <w:t>artemisinin</w:t>
      </w:r>
      <w:proofErr w:type="spellEnd"/>
      <w:r w:rsidRPr="00B14CCC">
        <w:rPr>
          <w:rFonts w:ascii="Times New Roman" w:eastAsia="Times New Roman" w:hAnsi="Times New Roman" w:cs="Times New Roman"/>
          <w:sz w:val="24"/>
          <w:szCs w:val="24"/>
        </w:rPr>
        <w:t>-based combination therapies that have saved millions of lives (</w:t>
      </w:r>
      <w:proofErr w:type="spellStart"/>
      <w:r w:rsidRPr="00B14CCC">
        <w:rPr>
          <w:rFonts w:ascii="Times New Roman" w:eastAsia="Times New Roman" w:hAnsi="Times New Roman" w:cs="Times New Roman"/>
          <w:sz w:val="24"/>
          <w:szCs w:val="24"/>
        </w:rPr>
        <w:t>Tu</w:t>
      </w:r>
      <w:proofErr w:type="spellEnd"/>
      <w:r w:rsidRPr="00B14CCC">
        <w:rPr>
          <w:rFonts w:ascii="Times New Roman" w:eastAsia="Times New Roman" w:hAnsi="Times New Roman" w:cs="Times New Roman"/>
          <w:sz w:val="24"/>
          <w:szCs w:val="24"/>
        </w:rPr>
        <w:t>, 2011). Such convergent evolution of medicinal knowledge provides strong prima facie evidence for therapeutic efficacy and serves as a valuable starting point for scientific investigation.</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The colonial period marked a significant disruption to indigenous medical systems, as Western biomedical paradigms were often imposed at the expense of traditional healing practices. Colonial authorities and missionaries frequently dismissed indigenous medicine as primitive superstition, leading to active suppression of traditional healers and their practices (</w:t>
      </w:r>
      <w:proofErr w:type="spellStart"/>
      <w:r w:rsidRPr="00B14CCC">
        <w:rPr>
          <w:rFonts w:ascii="Times New Roman" w:eastAsia="Times New Roman" w:hAnsi="Times New Roman" w:cs="Times New Roman"/>
          <w:sz w:val="24"/>
          <w:szCs w:val="24"/>
        </w:rPr>
        <w:t>Tilburt</w:t>
      </w:r>
      <w:proofErr w:type="spellEnd"/>
      <w:r w:rsidRPr="00B14CCC">
        <w:rPr>
          <w:rFonts w:ascii="Times New Roman" w:eastAsia="Times New Roman" w:hAnsi="Times New Roman" w:cs="Times New Roman"/>
          <w:sz w:val="24"/>
          <w:szCs w:val="24"/>
        </w:rPr>
        <w:t xml:space="preserve"> &amp; </w:t>
      </w:r>
      <w:proofErr w:type="spellStart"/>
      <w:r w:rsidRPr="00B14CCC">
        <w:rPr>
          <w:rFonts w:ascii="Times New Roman" w:eastAsia="Times New Roman" w:hAnsi="Times New Roman" w:cs="Times New Roman"/>
          <w:sz w:val="24"/>
          <w:szCs w:val="24"/>
        </w:rPr>
        <w:t>Kaptchuk</w:t>
      </w:r>
      <w:proofErr w:type="spellEnd"/>
      <w:r w:rsidRPr="00B14CCC">
        <w:rPr>
          <w:rFonts w:ascii="Times New Roman" w:eastAsia="Times New Roman" w:hAnsi="Times New Roman" w:cs="Times New Roman"/>
          <w:sz w:val="24"/>
          <w:szCs w:val="24"/>
        </w:rPr>
        <w:t>, 2008). This historical legacy has contributed to ongoing marginalization of indigenous knowledge systems and has complicated efforts to integrate traditional and modern medical approaches. However, the mid-20th century witnessed a resurgence of interest in traditional medicine, partly driven by the recognition of healthcare disparities in developing nations and the limitations of Western biomedicine in addressing certain conditions. The Alma-Ata Declaration of 1978, which emphasized primary healthcare and traditional medicine practitioners as essential components of comprehensive healthcare systems, represented a significant shift in global health policy toward recognition and integration of indigenous medical knowledge (WHO, 1978).</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Contemporary </w:t>
      </w:r>
      <w:proofErr w:type="spellStart"/>
      <w:r w:rsidRPr="00B14CCC">
        <w:rPr>
          <w:rFonts w:ascii="Times New Roman" w:eastAsia="Times New Roman" w:hAnsi="Times New Roman" w:cs="Times New Roman"/>
          <w:sz w:val="24"/>
          <w:szCs w:val="24"/>
        </w:rPr>
        <w:t>ethnopharmacological</w:t>
      </w:r>
      <w:proofErr w:type="spellEnd"/>
      <w:r w:rsidRPr="00B14CCC">
        <w:rPr>
          <w:rFonts w:ascii="Times New Roman" w:eastAsia="Times New Roman" w:hAnsi="Times New Roman" w:cs="Times New Roman"/>
          <w:sz w:val="24"/>
          <w:szCs w:val="24"/>
        </w:rPr>
        <w:t xml:space="preserve"> research increasingly recognizes the importance of maintaining traditional context and respecting indigenous intellectual property rights. Participatory research methodologies that involve indigenous communities as active collaborators rather than passive subjects have gained prominence, reflecting evolving ethical standards and recognition of indigenous sovereignty over traditional knowledge (Bannerman et al., 2015). These approaches emphasize benefit-sharing arrangements, capacity building within indigenous communities, and the preservation of traditional knowledge for future generations while facilitating scientific investigation of therapeutic claims.</w:t>
      </w:r>
    </w:p>
    <w:p w:rsidR="000216FD" w:rsidRPr="00B14CCC" w:rsidRDefault="000216FD"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3. Phytochemical Constituents and Classification</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Medicinal plants produce an extraordinary diversity of secondary metabolites, bioactive compounds that are not directly involved in primary metabolic processes such as growth, development, and reproduction, but serve various ecological functions including defense against herbivores, pathogens, and environmental stresses, as well as attracting pollinators and beneficial organisms. These secondary metabolites represent the primary source of therapeutic activity in medicinal plants and have been the focus of intensive phytochemical investigation. The major classes of plant secondary metabolites include alkaloids, flavonoids, </w:t>
      </w:r>
      <w:proofErr w:type="spellStart"/>
      <w:r w:rsidRPr="00B14CCC">
        <w:rPr>
          <w:rFonts w:ascii="Times New Roman" w:eastAsia="Times New Roman" w:hAnsi="Times New Roman" w:cs="Times New Roman"/>
          <w:sz w:val="24"/>
          <w:szCs w:val="24"/>
        </w:rPr>
        <w:t>terpenoids</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saponins</w:t>
      </w:r>
      <w:proofErr w:type="spellEnd"/>
      <w:r w:rsidRPr="00B14CCC">
        <w:rPr>
          <w:rFonts w:ascii="Times New Roman" w:eastAsia="Times New Roman" w:hAnsi="Times New Roman" w:cs="Times New Roman"/>
          <w:sz w:val="24"/>
          <w:szCs w:val="24"/>
        </w:rPr>
        <w:t>, tannins, phenolic compounds, and glycosides, each characterized by distinct chemical structures, biosynthetic pathways, and biological activities (</w:t>
      </w:r>
      <w:proofErr w:type="spellStart"/>
      <w:r w:rsidRPr="00B14CCC">
        <w:rPr>
          <w:rFonts w:ascii="Times New Roman" w:eastAsia="Times New Roman" w:hAnsi="Times New Roman" w:cs="Times New Roman"/>
          <w:sz w:val="24"/>
          <w:szCs w:val="24"/>
        </w:rPr>
        <w:t>Saxena</w:t>
      </w:r>
      <w:proofErr w:type="spellEnd"/>
      <w:r w:rsidRPr="00B14CCC">
        <w:rPr>
          <w:rFonts w:ascii="Times New Roman" w:eastAsia="Times New Roman" w:hAnsi="Times New Roman" w:cs="Times New Roman"/>
          <w:sz w:val="24"/>
          <w:szCs w:val="24"/>
        </w:rPr>
        <w:t xml:space="preserve"> et al., 2013).</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Alkaloids constitute one of the most pharmacologically significant classes of plant secondary metabolites, characterized by the presence of nitrogen-containing heterocyclic structures. This diverse group encompasses over 20,000 known compounds, many of which exhibit potent biological activities and have been developed into important pharmaceutical agents. Examples include morphine from </w:t>
      </w:r>
      <w:proofErr w:type="spellStart"/>
      <w:r w:rsidRPr="00B14CCC">
        <w:rPr>
          <w:rFonts w:ascii="Times New Roman" w:eastAsia="Times New Roman" w:hAnsi="Times New Roman" w:cs="Times New Roman"/>
          <w:i/>
          <w:iCs/>
          <w:sz w:val="24"/>
          <w:szCs w:val="24"/>
        </w:rPr>
        <w:t>Papaver</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somniferum</w:t>
      </w:r>
      <w:proofErr w:type="spellEnd"/>
      <w:r w:rsidRPr="00B14CCC">
        <w:rPr>
          <w:rFonts w:ascii="Times New Roman" w:eastAsia="Times New Roman" w:hAnsi="Times New Roman" w:cs="Times New Roman"/>
          <w:sz w:val="24"/>
          <w:szCs w:val="24"/>
        </w:rPr>
        <w:t xml:space="preserve">, which revolutionized pain management; quinine from </w:t>
      </w:r>
      <w:r w:rsidRPr="00B14CCC">
        <w:rPr>
          <w:rFonts w:ascii="Times New Roman" w:eastAsia="Times New Roman" w:hAnsi="Times New Roman" w:cs="Times New Roman"/>
          <w:i/>
          <w:iCs/>
          <w:sz w:val="24"/>
          <w:szCs w:val="24"/>
        </w:rPr>
        <w:t>Cinchona</w:t>
      </w:r>
      <w:r w:rsidRPr="00B14CCC">
        <w:rPr>
          <w:rFonts w:ascii="Times New Roman" w:eastAsia="Times New Roman" w:hAnsi="Times New Roman" w:cs="Times New Roman"/>
          <w:sz w:val="24"/>
          <w:szCs w:val="24"/>
        </w:rPr>
        <w:t xml:space="preserve"> species, the first effective antimalarial drug; and vincristine and vinblastine from </w:t>
      </w:r>
      <w:proofErr w:type="spellStart"/>
      <w:r w:rsidRPr="00B14CCC">
        <w:rPr>
          <w:rFonts w:ascii="Times New Roman" w:eastAsia="Times New Roman" w:hAnsi="Times New Roman" w:cs="Times New Roman"/>
          <w:i/>
          <w:iCs/>
          <w:sz w:val="24"/>
          <w:szCs w:val="24"/>
        </w:rPr>
        <w:t>Catharanthus</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roseus</w:t>
      </w:r>
      <w:proofErr w:type="spellEnd"/>
      <w:r w:rsidRPr="00B14CCC">
        <w:rPr>
          <w:rFonts w:ascii="Times New Roman" w:eastAsia="Times New Roman" w:hAnsi="Times New Roman" w:cs="Times New Roman"/>
          <w:sz w:val="24"/>
          <w:szCs w:val="24"/>
        </w:rPr>
        <w:t>, which are essential chemotherapeutic agents for treating various cancers (</w:t>
      </w:r>
      <w:proofErr w:type="spellStart"/>
      <w:r w:rsidRPr="00B14CCC">
        <w:rPr>
          <w:rFonts w:ascii="Times New Roman" w:eastAsia="Times New Roman" w:hAnsi="Times New Roman" w:cs="Times New Roman"/>
          <w:sz w:val="24"/>
          <w:szCs w:val="24"/>
        </w:rPr>
        <w:t>Aniszewski</w:t>
      </w:r>
      <w:proofErr w:type="spellEnd"/>
      <w:r w:rsidRPr="00B14CCC">
        <w:rPr>
          <w:rFonts w:ascii="Times New Roman" w:eastAsia="Times New Roman" w:hAnsi="Times New Roman" w:cs="Times New Roman"/>
          <w:sz w:val="24"/>
          <w:szCs w:val="24"/>
        </w:rPr>
        <w:t xml:space="preserve">, 2007). Alkaloids typically exhibit strong physiological effects even at low concentrations, affecting neurotransmitter systems, enzyme </w:t>
      </w:r>
      <w:r w:rsidRPr="00B14CCC">
        <w:rPr>
          <w:rFonts w:ascii="Times New Roman" w:eastAsia="Times New Roman" w:hAnsi="Times New Roman" w:cs="Times New Roman"/>
          <w:sz w:val="24"/>
          <w:szCs w:val="24"/>
        </w:rPr>
        <w:lastRenderedPageBreak/>
        <w:t xml:space="preserve">activities, and cellular signaling pathways. The biosynthesis of alkaloids involves diverse precursors, including amino acids, purines, and </w:t>
      </w:r>
      <w:proofErr w:type="spellStart"/>
      <w:r w:rsidRPr="00B14CCC">
        <w:rPr>
          <w:rFonts w:ascii="Times New Roman" w:eastAsia="Times New Roman" w:hAnsi="Times New Roman" w:cs="Times New Roman"/>
          <w:sz w:val="24"/>
          <w:szCs w:val="24"/>
        </w:rPr>
        <w:t>terpenes</w:t>
      </w:r>
      <w:proofErr w:type="spellEnd"/>
      <w:r w:rsidRPr="00B14CCC">
        <w:rPr>
          <w:rFonts w:ascii="Times New Roman" w:eastAsia="Times New Roman" w:hAnsi="Times New Roman" w:cs="Times New Roman"/>
          <w:sz w:val="24"/>
          <w:szCs w:val="24"/>
        </w:rPr>
        <w:t>, resulting in structural heterogeneity that contributes to their varied biological activities.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Flavonoids represent a large family of </w:t>
      </w:r>
      <w:proofErr w:type="spellStart"/>
      <w:r w:rsidRPr="00B14CCC">
        <w:rPr>
          <w:rFonts w:ascii="Times New Roman" w:eastAsia="Times New Roman" w:hAnsi="Times New Roman" w:cs="Times New Roman"/>
          <w:sz w:val="24"/>
          <w:szCs w:val="24"/>
        </w:rPr>
        <w:t>polyphenolic</w:t>
      </w:r>
      <w:proofErr w:type="spellEnd"/>
      <w:r w:rsidRPr="00B14CCC">
        <w:rPr>
          <w:rFonts w:ascii="Times New Roman" w:eastAsia="Times New Roman" w:hAnsi="Times New Roman" w:cs="Times New Roman"/>
          <w:sz w:val="24"/>
          <w:szCs w:val="24"/>
        </w:rPr>
        <w:t xml:space="preserve"> compounds characterized by a common C6-C3-C6 structural framework, consisting of two aromatic rings connected by a three-carbon bridge. More than 8,000 flavonoid compounds have been identified in plants, where they contribute to pigmentation, UV protection, and defense mechanisms (</w:t>
      </w:r>
      <w:proofErr w:type="spellStart"/>
      <w:r w:rsidRPr="00B14CCC">
        <w:rPr>
          <w:rFonts w:ascii="Times New Roman" w:eastAsia="Times New Roman" w:hAnsi="Times New Roman" w:cs="Times New Roman"/>
          <w:sz w:val="24"/>
          <w:szCs w:val="24"/>
        </w:rPr>
        <w:t>Panche</w:t>
      </w:r>
      <w:proofErr w:type="spellEnd"/>
      <w:r w:rsidRPr="00B14CCC">
        <w:rPr>
          <w:rFonts w:ascii="Times New Roman" w:eastAsia="Times New Roman" w:hAnsi="Times New Roman" w:cs="Times New Roman"/>
          <w:sz w:val="24"/>
          <w:szCs w:val="24"/>
        </w:rPr>
        <w:t xml:space="preserve"> et al., 2016). Flavonoids are subdivided into several major classes, including flavones, </w:t>
      </w:r>
      <w:proofErr w:type="spellStart"/>
      <w:r w:rsidRPr="00B14CCC">
        <w:rPr>
          <w:rFonts w:ascii="Times New Roman" w:eastAsia="Times New Roman" w:hAnsi="Times New Roman" w:cs="Times New Roman"/>
          <w:sz w:val="24"/>
          <w:szCs w:val="24"/>
        </w:rPr>
        <w:t>flavonols</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flavanones</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flavanonols</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isoflavones</w:t>
      </w:r>
      <w:proofErr w:type="spellEnd"/>
      <w:r w:rsidRPr="00B14CCC">
        <w:rPr>
          <w:rFonts w:ascii="Times New Roman" w:eastAsia="Times New Roman" w:hAnsi="Times New Roman" w:cs="Times New Roman"/>
          <w:sz w:val="24"/>
          <w:szCs w:val="24"/>
        </w:rPr>
        <w:t xml:space="preserve">, and </w:t>
      </w:r>
      <w:proofErr w:type="spellStart"/>
      <w:r w:rsidRPr="00B14CCC">
        <w:rPr>
          <w:rFonts w:ascii="Times New Roman" w:eastAsia="Times New Roman" w:hAnsi="Times New Roman" w:cs="Times New Roman"/>
          <w:sz w:val="24"/>
          <w:szCs w:val="24"/>
        </w:rPr>
        <w:t>anthocyanidins</w:t>
      </w:r>
      <w:proofErr w:type="spellEnd"/>
      <w:r w:rsidRPr="00B14CCC">
        <w:rPr>
          <w:rFonts w:ascii="Times New Roman" w:eastAsia="Times New Roman" w:hAnsi="Times New Roman" w:cs="Times New Roman"/>
          <w:sz w:val="24"/>
          <w:szCs w:val="24"/>
        </w:rPr>
        <w:t xml:space="preserve">, each characterized by specific structural modifications and biological activities. These compounds exhibit potent antioxidant properties through their ability to scavenge free radicals and chelate metal ions, contributing to their anti-inflammatory, </w:t>
      </w:r>
      <w:proofErr w:type="spellStart"/>
      <w:r w:rsidRPr="00B14CCC">
        <w:rPr>
          <w:rFonts w:ascii="Times New Roman" w:eastAsia="Times New Roman" w:hAnsi="Times New Roman" w:cs="Times New Roman"/>
          <w:sz w:val="24"/>
          <w:szCs w:val="24"/>
        </w:rPr>
        <w:t>cardioprotective</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neuroprotective</w:t>
      </w:r>
      <w:proofErr w:type="spellEnd"/>
      <w:r w:rsidRPr="00B14CCC">
        <w:rPr>
          <w:rFonts w:ascii="Times New Roman" w:eastAsia="Times New Roman" w:hAnsi="Times New Roman" w:cs="Times New Roman"/>
          <w:sz w:val="24"/>
          <w:szCs w:val="24"/>
        </w:rPr>
        <w:t>, and anticancer effects. Epidemiological studies have consistently demonstrated inverse associations between dietary flavonoid intake and risks of cardiovascular disease, certain cancers, and neurodegenerative disorders, supporting the therapeutic potential of flavonoid-rich medicinal plants.</w:t>
      </w:r>
    </w:p>
    <w:p w:rsidR="000216FD" w:rsidRPr="00B14CCC" w:rsidRDefault="000216FD"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sz w:val="24"/>
          <w:szCs w:val="24"/>
        </w:rPr>
        <w:t>Terpenoids</w:t>
      </w:r>
      <w:proofErr w:type="spellEnd"/>
      <w:r w:rsidRPr="00B14CCC">
        <w:rPr>
          <w:rFonts w:ascii="Times New Roman" w:eastAsia="Times New Roman" w:hAnsi="Times New Roman" w:cs="Times New Roman"/>
          <w:sz w:val="24"/>
          <w:szCs w:val="24"/>
        </w:rPr>
        <w:t xml:space="preserve">, also known as </w:t>
      </w:r>
      <w:proofErr w:type="spellStart"/>
      <w:r w:rsidRPr="00B14CCC">
        <w:rPr>
          <w:rFonts w:ascii="Times New Roman" w:eastAsia="Times New Roman" w:hAnsi="Times New Roman" w:cs="Times New Roman"/>
          <w:sz w:val="24"/>
          <w:szCs w:val="24"/>
        </w:rPr>
        <w:t>isoprenoids</w:t>
      </w:r>
      <w:proofErr w:type="spellEnd"/>
      <w:r w:rsidRPr="00B14CCC">
        <w:rPr>
          <w:rFonts w:ascii="Times New Roman" w:eastAsia="Times New Roman" w:hAnsi="Times New Roman" w:cs="Times New Roman"/>
          <w:sz w:val="24"/>
          <w:szCs w:val="24"/>
        </w:rPr>
        <w:t xml:space="preserve">, constitute the largest and most structurally diverse class of plant secondary metabolites, with over 55,000 identified compounds. These compounds are biosynthesized through the assembly of five-carbon isoprene units into structures ranging from simple </w:t>
      </w:r>
      <w:proofErr w:type="spellStart"/>
      <w:r w:rsidRPr="00B14CCC">
        <w:rPr>
          <w:rFonts w:ascii="Times New Roman" w:eastAsia="Times New Roman" w:hAnsi="Times New Roman" w:cs="Times New Roman"/>
          <w:sz w:val="24"/>
          <w:szCs w:val="24"/>
        </w:rPr>
        <w:t>monoterpenes</w:t>
      </w:r>
      <w:proofErr w:type="spellEnd"/>
      <w:r w:rsidRPr="00B14CCC">
        <w:rPr>
          <w:rFonts w:ascii="Times New Roman" w:eastAsia="Times New Roman" w:hAnsi="Times New Roman" w:cs="Times New Roman"/>
          <w:sz w:val="24"/>
          <w:szCs w:val="24"/>
        </w:rPr>
        <w:t xml:space="preserve"> (C10) to complex </w:t>
      </w:r>
      <w:proofErr w:type="spellStart"/>
      <w:r w:rsidRPr="00B14CCC">
        <w:rPr>
          <w:rFonts w:ascii="Times New Roman" w:eastAsia="Times New Roman" w:hAnsi="Times New Roman" w:cs="Times New Roman"/>
          <w:sz w:val="24"/>
          <w:szCs w:val="24"/>
        </w:rPr>
        <w:t>triterpenes</w:t>
      </w:r>
      <w:proofErr w:type="spellEnd"/>
      <w:r w:rsidRPr="00B14CCC">
        <w:rPr>
          <w:rFonts w:ascii="Times New Roman" w:eastAsia="Times New Roman" w:hAnsi="Times New Roman" w:cs="Times New Roman"/>
          <w:sz w:val="24"/>
          <w:szCs w:val="24"/>
        </w:rPr>
        <w:t xml:space="preserve"> (C30) and </w:t>
      </w:r>
      <w:proofErr w:type="spellStart"/>
      <w:r w:rsidRPr="00B14CCC">
        <w:rPr>
          <w:rFonts w:ascii="Times New Roman" w:eastAsia="Times New Roman" w:hAnsi="Times New Roman" w:cs="Times New Roman"/>
          <w:sz w:val="24"/>
          <w:szCs w:val="24"/>
        </w:rPr>
        <w:t>polyterpenes</w:t>
      </w:r>
      <w:proofErr w:type="spellEnd"/>
      <w:r w:rsidRPr="00B14CCC">
        <w:rPr>
          <w:rFonts w:ascii="Times New Roman" w:eastAsia="Times New Roman" w:hAnsi="Times New Roman" w:cs="Times New Roman"/>
          <w:sz w:val="24"/>
          <w:szCs w:val="24"/>
        </w:rPr>
        <w:t xml:space="preserve"> (Kumar et al., 2013). Essential oils, which are widely used in traditional medicine for their antimicrobial, anti-inflammatory, and therapeutic properties, are predominantly composed of </w:t>
      </w:r>
      <w:proofErr w:type="spellStart"/>
      <w:r w:rsidRPr="00B14CCC">
        <w:rPr>
          <w:rFonts w:ascii="Times New Roman" w:eastAsia="Times New Roman" w:hAnsi="Times New Roman" w:cs="Times New Roman"/>
          <w:sz w:val="24"/>
          <w:szCs w:val="24"/>
        </w:rPr>
        <w:t>monoterpenes</w:t>
      </w:r>
      <w:proofErr w:type="spellEnd"/>
      <w:r w:rsidRPr="00B14CCC">
        <w:rPr>
          <w:rFonts w:ascii="Times New Roman" w:eastAsia="Times New Roman" w:hAnsi="Times New Roman" w:cs="Times New Roman"/>
          <w:sz w:val="24"/>
          <w:szCs w:val="24"/>
        </w:rPr>
        <w:t xml:space="preserve"> and </w:t>
      </w:r>
      <w:proofErr w:type="spellStart"/>
      <w:r w:rsidRPr="00B14CCC">
        <w:rPr>
          <w:rFonts w:ascii="Times New Roman" w:eastAsia="Times New Roman" w:hAnsi="Times New Roman" w:cs="Times New Roman"/>
          <w:sz w:val="24"/>
          <w:szCs w:val="24"/>
        </w:rPr>
        <w:t>sesquiterpenes</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Diterpenoids</w:t>
      </w:r>
      <w:proofErr w:type="spellEnd"/>
      <w:r w:rsidRPr="00B14CCC">
        <w:rPr>
          <w:rFonts w:ascii="Times New Roman" w:eastAsia="Times New Roman" w:hAnsi="Times New Roman" w:cs="Times New Roman"/>
          <w:sz w:val="24"/>
          <w:szCs w:val="24"/>
        </w:rPr>
        <w:t xml:space="preserve"> include important pharmaceutical compounds such as paclitaxel (</w:t>
      </w:r>
      <w:proofErr w:type="spellStart"/>
      <w:r w:rsidRPr="00B14CCC">
        <w:rPr>
          <w:rFonts w:ascii="Times New Roman" w:eastAsia="Times New Roman" w:hAnsi="Times New Roman" w:cs="Times New Roman"/>
          <w:sz w:val="24"/>
          <w:szCs w:val="24"/>
        </w:rPr>
        <w:t>Taxol</w:t>
      </w:r>
      <w:proofErr w:type="spellEnd"/>
      <w:r w:rsidRPr="00B14CCC">
        <w:rPr>
          <w:rFonts w:ascii="Times New Roman" w:eastAsia="Times New Roman" w:hAnsi="Times New Roman" w:cs="Times New Roman"/>
          <w:sz w:val="24"/>
          <w:szCs w:val="24"/>
        </w:rPr>
        <w:t xml:space="preserve">), while </w:t>
      </w:r>
      <w:proofErr w:type="spellStart"/>
      <w:r w:rsidRPr="00B14CCC">
        <w:rPr>
          <w:rFonts w:ascii="Times New Roman" w:eastAsia="Times New Roman" w:hAnsi="Times New Roman" w:cs="Times New Roman"/>
          <w:sz w:val="24"/>
          <w:szCs w:val="24"/>
        </w:rPr>
        <w:t>triterpenoids</w:t>
      </w:r>
      <w:proofErr w:type="spellEnd"/>
      <w:r w:rsidRPr="00B14CCC">
        <w:rPr>
          <w:rFonts w:ascii="Times New Roman" w:eastAsia="Times New Roman" w:hAnsi="Times New Roman" w:cs="Times New Roman"/>
          <w:sz w:val="24"/>
          <w:szCs w:val="24"/>
        </w:rPr>
        <w:t xml:space="preserve"> encompass steroids and </w:t>
      </w:r>
      <w:proofErr w:type="spellStart"/>
      <w:r w:rsidRPr="00B14CCC">
        <w:rPr>
          <w:rFonts w:ascii="Times New Roman" w:eastAsia="Times New Roman" w:hAnsi="Times New Roman" w:cs="Times New Roman"/>
          <w:sz w:val="24"/>
          <w:szCs w:val="24"/>
        </w:rPr>
        <w:t>saponins</w:t>
      </w:r>
      <w:proofErr w:type="spellEnd"/>
      <w:r w:rsidRPr="00B14CCC">
        <w:rPr>
          <w:rFonts w:ascii="Times New Roman" w:eastAsia="Times New Roman" w:hAnsi="Times New Roman" w:cs="Times New Roman"/>
          <w:sz w:val="24"/>
          <w:szCs w:val="24"/>
        </w:rPr>
        <w:t xml:space="preserve"> with diverse biological activities. The structural diversity of </w:t>
      </w:r>
      <w:proofErr w:type="spellStart"/>
      <w:r w:rsidRPr="00B14CCC">
        <w:rPr>
          <w:rFonts w:ascii="Times New Roman" w:eastAsia="Times New Roman" w:hAnsi="Times New Roman" w:cs="Times New Roman"/>
          <w:sz w:val="24"/>
          <w:szCs w:val="24"/>
        </w:rPr>
        <w:t>terpenoids</w:t>
      </w:r>
      <w:proofErr w:type="spellEnd"/>
      <w:r w:rsidRPr="00B14CCC">
        <w:rPr>
          <w:rFonts w:ascii="Times New Roman" w:eastAsia="Times New Roman" w:hAnsi="Times New Roman" w:cs="Times New Roman"/>
          <w:sz w:val="24"/>
          <w:szCs w:val="24"/>
        </w:rPr>
        <w:t xml:space="preserve"> contributes to their varied pharmacological effects, including antimicrobial, antiviral, anti-inflammatory, </w:t>
      </w:r>
      <w:proofErr w:type="spellStart"/>
      <w:r w:rsidRPr="00B14CCC">
        <w:rPr>
          <w:rFonts w:ascii="Times New Roman" w:eastAsia="Times New Roman" w:hAnsi="Times New Roman" w:cs="Times New Roman"/>
          <w:sz w:val="24"/>
          <w:szCs w:val="24"/>
        </w:rPr>
        <w:t>immunomodulatory</w:t>
      </w:r>
      <w:proofErr w:type="spellEnd"/>
      <w:r w:rsidRPr="00B14CCC">
        <w:rPr>
          <w:rFonts w:ascii="Times New Roman" w:eastAsia="Times New Roman" w:hAnsi="Times New Roman" w:cs="Times New Roman"/>
          <w:sz w:val="24"/>
          <w:szCs w:val="24"/>
        </w:rPr>
        <w:t>, and anticancer activities.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Phenolic compounds represent another major class of plant secondary metabolites, characterized by the presence of one or more hydroxyl groups attached to aromatic rings. These compounds range from simple phenolic acids to complex polymeric tannins and include </w:t>
      </w:r>
      <w:proofErr w:type="spellStart"/>
      <w:r w:rsidRPr="00B14CCC">
        <w:rPr>
          <w:rFonts w:ascii="Times New Roman" w:eastAsia="Times New Roman" w:hAnsi="Times New Roman" w:cs="Times New Roman"/>
          <w:sz w:val="24"/>
          <w:szCs w:val="24"/>
        </w:rPr>
        <w:t>phenylpropanoids</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coumarins</w:t>
      </w:r>
      <w:proofErr w:type="spellEnd"/>
      <w:r w:rsidRPr="00B14CCC">
        <w:rPr>
          <w:rFonts w:ascii="Times New Roman" w:eastAsia="Times New Roman" w:hAnsi="Times New Roman" w:cs="Times New Roman"/>
          <w:sz w:val="24"/>
          <w:szCs w:val="24"/>
        </w:rPr>
        <w:t xml:space="preserve">, and </w:t>
      </w:r>
      <w:proofErr w:type="spellStart"/>
      <w:r w:rsidRPr="00B14CCC">
        <w:rPr>
          <w:rFonts w:ascii="Times New Roman" w:eastAsia="Times New Roman" w:hAnsi="Times New Roman" w:cs="Times New Roman"/>
          <w:sz w:val="24"/>
          <w:szCs w:val="24"/>
        </w:rPr>
        <w:t>lignans</w:t>
      </w:r>
      <w:proofErr w:type="spellEnd"/>
      <w:r w:rsidRPr="00B14CCC">
        <w:rPr>
          <w:rFonts w:ascii="Times New Roman" w:eastAsia="Times New Roman" w:hAnsi="Times New Roman" w:cs="Times New Roman"/>
          <w:sz w:val="24"/>
          <w:szCs w:val="24"/>
        </w:rPr>
        <w:t xml:space="preserve">. Phenolic compounds contribute significantly to the antioxidant capacity of medicinal plants through their ability to donate hydrogen atoms or electrons to free radicals, thereby interrupting oxidative chain reactions (Dai &amp; </w:t>
      </w:r>
      <w:proofErr w:type="spellStart"/>
      <w:r w:rsidRPr="00B14CCC">
        <w:rPr>
          <w:rFonts w:ascii="Times New Roman" w:eastAsia="Times New Roman" w:hAnsi="Times New Roman" w:cs="Times New Roman"/>
          <w:sz w:val="24"/>
          <w:szCs w:val="24"/>
        </w:rPr>
        <w:t>Mumper</w:t>
      </w:r>
      <w:proofErr w:type="spellEnd"/>
      <w:r w:rsidRPr="00B14CCC">
        <w:rPr>
          <w:rFonts w:ascii="Times New Roman" w:eastAsia="Times New Roman" w:hAnsi="Times New Roman" w:cs="Times New Roman"/>
          <w:sz w:val="24"/>
          <w:szCs w:val="24"/>
        </w:rPr>
        <w:t>, 2010). Tannins, which are complex polymeric phenolic compounds, exhibit astringent properties and have been traditionally used for wound healing, treating diarrhea, and as topical applications for various skin conditions. The antimicrobial activities of tannins result from their ability to bind proteins, inhibit enzymes, and disrupt microbial cell membranes.</w:t>
      </w:r>
    </w:p>
    <w:p w:rsidR="000216FD" w:rsidRPr="00B14CCC" w:rsidRDefault="000216FD"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sz w:val="24"/>
          <w:szCs w:val="24"/>
        </w:rPr>
        <w:t>Saponins</w:t>
      </w:r>
      <w:proofErr w:type="spellEnd"/>
      <w:r w:rsidRPr="00B14CCC">
        <w:rPr>
          <w:rFonts w:ascii="Times New Roman" w:eastAsia="Times New Roman" w:hAnsi="Times New Roman" w:cs="Times New Roman"/>
          <w:sz w:val="24"/>
          <w:szCs w:val="24"/>
        </w:rPr>
        <w:t xml:space="preserve"> are </w:t>
      </w:r>
      <w:proofErr w:type="spellStart"/>
      <w:r w:rsidRPr="00B14CCC">
        <w:rPr>
          <w:rFonts w:ascii="Times New Roman" w:eastAsia="Times New Roman" w:hAnsi="Times New Roman" w:cs="Times New Roman"/>
          <w:sz w:val="24"/>
          <w:szCs w:val="24"/>
        </w:rPr>
        <w:t>glycosidic</w:t>
      </w:r>
      <w:proofErr w:type="spellEnd"/>
      <w:r w:rsidRPr="00B14CCC">
        <w:rPr>
          <w:rFonts w:ascii="Times New Roman" w:eastAsia="Times New Roman" w:hAnsi="Times New Roman" w:cs="Times New Roman"/>
          <w:sz w:val="24"/>
          <w:szCs w:val="24"/>
        </w:rPr>
        <w:t xml:space="preserve"> compounds consisting of a </w:t>
      </w:r>
      <w:proofErr w:type="spellStart"/>
      <w:r w:rsidRPr="00B14CCC">
        <w:rPr>
          <w:rFonts w:ascii="Times New Roman" w:eastAsia="Times New Roman" w:hAnsi="Times New Roman" w:cs="Times New Roman"/>
          <w:sz w:val="24"/>
          <w:szCs w:val="24"/>
        </w:rPr>
        <w:t>triterpenoid</w:t>
      </w:r>
      <w:proofErr w:type="spellEnd"/>
      <w:r w:rsidRPr="00B14CCC">
        <w:rPr>
          <w:rFonts w:ascii="Times New Roman" w:eastAsia="Times New Roman" w:hAnsi="Times New Roman" w:cs="Times New Roman"/>
          <w:sz w:val="24"/>
          <w:szCs w:val="24"/>
        </w:rPr>
        <w:t xml:space="preserve"> or steroid </w:t>
      </w:r>
      <w:proofErr w:type="spellStart"/>
      <w:r w:rsidRPr="00B14CCC">
        <w:rPr>
          <w:rFonts w:ascii="Times New Roman" w:eastAsia="Times New Roman" w:hAnsi="Times New Roman" w:cs="Times New Roman"/>
          <w:sz w:val="24"/>
          <w:szCs w:val="24"/>
        </w:rPr>
        <w:t>aglycone</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sapogenin</w:t>
      </w:r>
      <w:proofErr w:type="spellEnd"/>
      <w:r w:rsidRPr="00B14CCC">
        <w:rPr>
          <w:rFonts w:ascii="Times New Roman" w:eastAsia="Times New Roman" w:hAnsi="Times New Roman" w:cs="Times New Roman"/>
          <w:sz w:val="24"/>
          <w:szCs w:val="24"/>
        </w:rPr>
        <w:t xml:space="preserve">) attached to one or more sugar chains. These </w:t>
      </w:r>
      <w:proofErr w:type="spellStart"/>
      <w:r w:rsidRPr="00B14CCC">
        <w:rPr>
          <w:rFonts w:ascii="Times New Roman" w:eastAsia="Times New Roman" w:hAnsi="Times New Roman" w:cs="Times New Roman"/>
          <w:sz w:val="24"/>
          <w:szCs w:val="24"/>
        </w:rPr>
        <w:t>amphiphilic</w:t>
      </w:r>
      <w:proofErr w:type="spellEnd"/>
      <w:r w:rsidRPr="00B14CCC">
        <w:rPr>
          <w:rFonts w:ascii="Times New Roman" w:eastAsia="Times New Roman" w:hAnsi="Times New Roman" w:cs="Times New Roman"/>
          <w:sz w:val="24"/>
          <w:szCs w:val="24"/>
        </w:rPr>
        <w:t xml:space="preserve"> molecules exhibit surfactant properties and form stable foams in aqueous solutions, characteristics that have led to their traditional use in soaps and detergents. </w:t>
      </w:r>
      <w:proofErr w:type="spellStart"/>
      <w:r w:rsidRPr="00B14CCC">
        <w:rPr>
          <w:rFonts w:ascii="Times New Roman" w:eastAsia="Times New Roman" w:hAnsi="Times New Roman" w:cs="Times New Roman"/>
          <w:sz w:val="24"/>
          <w:szCs w:val="24"/>
        </w:rPr>
        <w:t>Saponins</w:t>
      </w:r>
      <w:proofErr w:type="spellEnd"/>
      <w:r w:rsidRPr="00B14CCC">
        <w:rPr>
          <w:rFonts w:ascii="Times New Roman" w:eastAsia="Times New Roman" w:hAnsi="Times New Roman" w:cs="Times New Roman"/>
          <w:sz w:val="24"/>
          <w:szCs w:val="24"/>
        </w:rPr>
        <w:t xml:space="preserve"> demonstrate diverse biological </w:t>
      </w:r>
      <w:r w:rsidRPr="00B14CCC">
        <w:rPr>
          <w:rFonts w:ascii="Times New Roman" w:eastAsia="Times New Roman" w:hAnsi="Times New Roman" w:cs="Times New Roman"/>
          <w:sz w:val="24"/>
          <w:szCs w:val="24"/>
        </w:rPr>
        <w:lastRenderedPageBreak/>
        <w:t xml:space="preserve">activities, including </w:t>
      </w:r>
      <w:proofErr w:type="spellStart"/>
      <w:r w:rsidRPr="00B14CCC">
        <w:rPr>
          <w:rFonts w:ascii="Times New Roman" w:eastAsia="Times New Roman" w:hAnsi="Times New Roman" w:cs="Times New Roman"/>
          <w:sz w:val="24"/>
          <w:szCs w:val="24"/>
        </w:rPr>
        <w:t>immunomodulatory</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hypocholesterolemic</w:t>
      </w:r>
      <w:proofErr w:type="spellEnd"/>
      <w:r w:rsidRPr="00B14CCC">
        <w:rPr>
          <w:rFonts w:ascii="Times New Roman" w:eastAsia="Times New Roman" w:hAnsi="Times New Roman" w:cs="Times New Roman"/>
          <w:sz w:val="24"/>
          <w:szCs w:val="24"/>
        </w:rPr>
        <w:t>, antifungal, and cytotoxic effects (</w:t>
      </w:r>
      <w:proofErr w:type="spellStart"/>
      <w:r w:rsidRPr="00B14CCC">
        <w:rPr>
          <w:rFonts w:ascii="Times New Roman" w:eastAsia="Times New Roman" w:hAnsi="Times New Roman" w:cs="Times New Roman"/>
          <w:sz w:val="24"/>
          <w:szCs w:val="24"/>
        </w:rPr>
        <w:t>Vincken</w:t>
      </w:r>
      <w:proofErr w:type="spellEnd"/>
      <w:r w:rsidRPr="00B14CCC">
        <w:rPr>
          <w:rFonts w:ascii="Times New Roman" w:eastAsia="Times New Roman" w:hAnsi="Times New Roman" w:cs="Times New Roman"/>
          <w:sz w:val="24"/>
          <w:szCs w:val="24"/>
        </w:rPr>
        <w:t xml:space="preserve"> et al., 2007). Certain </w:t>
      </w:r>
      <w:proofErr w:type="spellStart"/>
      <w:r w:rsidRPr="00B14CCC">
        <w:rPr>
          <w:rFonts w:ascii="Times New Roman" w:eastAsia="Times New Roman" w:hAnsi="Times New Roman" w:cs="Times New Roman"/>
          <w:sz w:val="24"/>
          <w:szCs w:val="24"/>
        </w:rPr>
        <w:t>saponins</w:t>
      </w:r>
      <w:proofErr w:type="spellEnd"/>
      <w:r w:rsidRPr="00B14CCC">
        <w:rPr>
          <w:rFonts w:ascii="Times New Roman" w:eastAsia="Times New Roman" w:hAnsi="Times New Roman" w:cs="Times New Roman"/>
          <w:sz w:val="24"/>
          <w:szCs w:val="24"/>
        </w:rPr>
        <w:t xml:space="preserve"> enhance the absorption of macromolecules through biological membranes, a property exploited in vaccine adjuvants and drug delivery systems. The structural diversity of </w:t>
      </w:r>
      <w:proofErr w:type="spellStart"/>
      <w:r w:rsidRPr="00B14CCC">
        <w:rPr>
          <w:rFonts w:ascii="Times New Roman" w:eastAsia="Times New Roman" w:hAnsi="Times New Roman" w:cs="Times New Roman"/>
          <w:sz w:val="24"/>
          <w:szCs w:val="24"/>
        </w:rPr>
        <w:t>saponins</w:t>
      </w:r>
      <w:proofErr w:type="spellEnd"/>
      <w:r w:rsidRPr="00B14CCC">
        <w:rPr>
          <w:rFonts w:ascii="Times New Roman" w:eastAsia="Times New Roman" w:hAnsi="Times New Roman" w:cs="Times New Roman"/>
          <w:sz w:val="24"/>
          <w:szCs w:val="24"/>
        </w:rPr>
        <w:t xml:space="preserve">, resulting from variations in the </w:t>
      </w:r>
      <w:proofErr w:type="spellStart"/>
      <w:r w:rsidRPr="00B14CCC">
        <w:rPr>
          <w:rFonts w:ascii="Times New Roman" w:eastAsia="Times New Roman" w:hAnsi="Times New Roman" w:cs="Times New Roman"/>
          <w:sz w:val="24"/>
          <w:szCs w:val="24"/>
        </w:rPr>
        <w:t>aglycone</w:t>
      </w:r>
      <w:proofErr w:type="spellEnd"/>
      <w:r w:rsidRPr="00B14CCC">
        <w:rPr>
          <w:rFonts w:ascii="Times New Roman" w:eastAsia="Times New Roman" w:hAnsi="Times New Roman" w:cs="Times New Roman"/>
          <w:sz w:val="24"/>
          <w:szCs w:val="24"/>
        </w:rPr>
        <w:t xml:space="preserve"> structure and the number, type, and position of attached sugar moieties, contributes to their varied biological activities and therapeutic applications.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complexity of medicinal plant chemistry extends beyond individual compound classes, as plants typically contain complex mixtures of bioactive constituents that may interact synergistically to produce therapeutic effects. This phenomenon, termed the "entourage effect" or synergy, suggests that the therapeutic efficacy of whole plant extracts may exceed that of isolated pure compounds, supporting traditional practices of using whole plant preparations rather than single isolated constituents (Wagner &amp; Ulrich-</w:t>
      </w:r>
      <w:proofErr w:type="spellStart"/>
      <w:r w:rsidRPr="00B14CCC">
        <w:rPr>
          <w:rFonts w:ascii="Times New Roman" w:eastAsia="Times New Roman" w:hAnsi="Times New Roman" w:cs="Times New Roman"/>
          <w:sz w:val="24"/>
          <w:szCs w:val="24"/>
        </w:rPr>
        <w:t>Merzenich</w:t>
      </w:r>
      <w:proofErr w:type="spellEnd"/>
      <w:r w:rsidRPr="00B14CCC">
        <w:rPr>
          <w:rFonts w:ascii="Times New Roman" w:eastAsia="Times New Roman" w:hAnsi="Times New Roman" w:cs="Times New Roman"/>
          <w:sz w:val="24"/>
          <w:szCs w:val="24"/>
        </w:rPr>
        <w:t xml:space="preserve">, 2009). Understanding these complex interactions requires sophisticated analytical approaches and represents an important area for future research in </w:t>
      </w:r>
      <w:proofErr w:type="spellStart"/>
      <w:r w:rsidRPr="00B14CCC">
        <w:rPr>
          <w:rFonts w:ascii="Times New Roman" w:eastAsia="Times New Roman" w:hAnsi="Times New Roman" w:cs="Times New Roman"/>
          <w:sz w:val="24"/>
          <w:szCs w:val="24"/>
        </w:rPr>
        <w:t>ethnopharmacology</w:t>
      </w:r>
      <w:proofErr w:type="spellEnd"/>
      <w:r w:rsidRPr="00B14CCC">
        <w:rPr>
          <w:rFonts w:ascii="Times New Roman" w:eastAsia="Times New Roman" w:hAnsi="Times New Roman" w:cs="Times New Roman"/>
          <w:sz w:val="24"/>
          <w:szCs w:val="24"/>
        </w:rPr>
        <w:t xml:space="preserve"> and natural product chemistry.</w:t>
      </w:r>
    </w:p>
    <w:p w:rsidR="000216FD" w:rsidRPr="00B14CCC" w:rsidRDefault="000216FD"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4. Modern Analytical Methodologies in Phytochemical Research</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advancement of analytical chemistry has revolutionized phytochemical research, enabling comprehensive characterization of complex plant matrices at unprecedented levels of detail and sensitivity. Contemporary methodologies employ sophisticated instrumentation that combines separation techniques with spectroscopic detection, facilitating identification and quantification of bioactive compounds in complex mixtures. These technological capabilities have been instrumental in validating traditional medicinal applications by correlating specific phytochemical profiles with observed biological activities, thereby providing mechanistic insights into indigenous therapeutic practices (</w:t>
      </w:r>
      <w:proofErr w:type="spellStart"/>
      <w:r w:rsidRPr="00B14CCC">
        <w:rPr>
          <w:rFonts w:ascii="Times New Roman" w:eastAsia="Times New Roman" w:hAnsi="Times New Roman" w:cs="Times New Roman"/>
          <w:sz w:val="24"/>
          <w:szCs w:val="24"/>
        </w:rPr>
        <w:t>Wolfender</w:t>
      </w:r>
      <w:proofErr w:type="spellEnd"/>
      <w:r w:rsidRPr="00B14CCC">
        <w:rPr>
          <w:rFonts w:ascii="Times New Roman" w:eastAsia="Times New Roman" w:hAnsi="Times New Roman" w:cs="Times New Roman"/>
          <w:sz w:val="24"/>
          <w:szCs w:val="24"/>
        </w:rPr>
        <w:t xml:space="preserve"> et al., 2015).</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High-performance liquid chromatography (HPLC) coupled with various detection systems represents one of the most widely employed analytical techniques in phytochemical research. HPLC separates complex mixtures based on differential interactions between sample components and the stationary phase, with detection achieved through ultraviolet-visible (UV-Vis) spectroscopy, diode array detection (DAD), fluorescence, or electrochemical methods. The development of ultra-performance liquid chromatography (UPLC), which employs sub-2-micron particles and operates at higher pressures, has significantly improved resolution, sensitivity, and analysis speed compared to conventional HPLC systems (</w:t>
      </w:r>
      <w:proofErr w:type="spellStart"/>
      <w:r w:rsidRPr="00B14CCC">
        <w:rPr>
          <w:rFonts w:ascii="Times New Roman" w:eastAsia="Times New Roman" w:hAnsi="Times New Roman" w:cs="Times New Roman"/>
          <w:sz w:val="24"/>
          <w:szCs w:val="24"/>
        </w:rPr>
        <w:t>Nováková</w:t>
      </w:r>
      <w:proofErr w:type="spellEnd"/>
      <w:r w:rsidRPr="00B14CCC">
        <w:rPr>
          <w:rFonts w:ascii="Times New Roman" w:eastAsia="Times New Roman" w:hAnsi="Times New Roman" w:cs="Times New Roman"/>
          <w:sz w:val="24"/>
          <w:szCs w:val="24"/>
        </w:rPr>
        <w:t xml:space="preserve"> et al., 2006). When coupled with mass spectrometry (MS), HPLC-MS and UPLC-MS provide powerful tools for identifying unknown compounds through accurate mass determination and fragmentation pattern analysis. Tandem mass spectrometry (MS/MS) further enhances structural elucidation capabilities by providing detailed information about molecular fragmentation pathways, enabling confident identification of compounds even in complex matrices.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Gas chromatography-mass spectrometry (GC-MS) serves as the technique of choice for analyzing volatile and semi-volatile compounds, particularly in essential oil analysis. GC-MS </w:t>
      </w:r>
      <w:r w:rsidRPr="00B14CCC">
        <w:rPr>
          <w:rFonts w:ascii="Times New Roman" w:eastAsia="Times New Roman" w:hAnsi="Times New Roman" w:cs="Times New Roman"/>
          <w:sz w:val="24"/>
          <w:szCs w:val="24"/>
        </w:rPr>
        <w:lastRenderedPageBreak/>
        <w:t xml:space="preserve">combines the separation capabilities of gas chromatography with the identification power of mass spectrometry, enabling simultaneous separation, identification, and quantification of complex volatile mixtures (Sparkman et al., 2011). The technique is particularly valuable for analyzing </w:t>
      </w:r>
      <w:proofErr w:type="spellStart"/>
      <w:r w:rsidRPr="00B14CCC">
        <w:rPr>
          <w:rFonts w:ascii="Times New Roman" w:eastAsia="Times New Roman" w:hAnsi="Times New Roman" w:cs="Times New Roman"/>
          <w:sz w:val="24"/>
          <w:szCs w:val="24"/>
        </w:rPr>
        <w:t>monoterpenes</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sesquiterpenes</w:t>
      </w:r>
      <w:proofErr w:type="spellEnd"/>
      <w:r w:rsidRPr="00B14CCC">
        <w:rPr>
          <w:rFonts w:ascii="Times New Roman" w:eastAsia="Times New Roman" w:hAnsi="Times New Roman" w:cs="Times New Roman"/>
          <w:sz w:val="24"/>
          <w:szCs w:val="24"/>
        </w:rPr>
        <w:t>, and other volatile constituents that contribute significantly to the biological activities of many medicinal plants. Modern GC-MS instruments equipped with time-of-flight (TOF) or high-resolution mass analyzers provide enhanced accuracy and sensitivity, facilitating identification of minor components and structural isomers that may contribute to therapeutic effects.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Nuclear magnetic resonance (NMR) spectroscopy has emerged as an indispensable tool for structural elucidation of purified phytochemicals and for metabolomics studies of complex plant extracts. Unlike mass spectrometry, which destroys the sample during analysis, NMR is non-destructive and provides detailed information about molecular structure, including connectivity between atoms and stereochemistry (Pauli et al., 2012). One-dimensional proton (¹H) and carbon-13 (¹³C) NMR spectra provide fundamental structural information, while two-dimensional techniques such as COSY (correlation spectroscopy), HSQC (</w:t>
      </w:r>
      <w:proofErr w:type="spellStart"/>
      <w:r w:rsidRPr="00B14CCC">
        <w:rPr>
          <w:rFonts w:ascii="Times New Roman" w:eastAsia="Times New Roman" w:hAnsi="Times New Roman" w:cs="Times New Roman"/>
          <w:sz w:val="24"/>
          <w:szCs w:val="24"/>
        </w:rPr>
        <w:t>heteronuclear</w:t>
      </w:r>
      <w:proofErr w:type="spellEnd"/>
      <w:r w:rsidRPr="00B14CCC">
        <w:rPr>
          <w:rFonts w:ascii="Times New Roman" w:eastAsia="Times New Roman" w:hAnsi="Times New Roman" w:cs="Times New Roman"/>
          <w:sz w:val="24"/>
          <w:szCs w:val="24"/>
        </w:rPr>
        <w:t xml:space="preserve"> single quantum coherence), and HMBC (</w:t>
      </w:r>
      <w:proofErr w:type="spellStart"/>
      <w:r w:rsidRPr="00B14CCC">
        <w:rPr>
          <w:rFonts w:ascii="Times New Roman" w:eastAsia="Times New Roman" w:hAnsi="Times New Roman" w:cs="Times New Roman"/>
          <w:sz w:val="24"/>
          <w:szCs w:val="24"/>
        </w:rPr>
        <w:t>heteronuclear</w:t>
      </w:r>
      <w:proofErr w:type="spellEnd"/>
      <w:r w:rsidRPr="00B14CCC">
        <w:rPr>
          <w:rFonts w:ascii="Times New Roman" w:eastAsia="Times New Roman" w:hAnsi="Times New Roman" w:cs="Times New Roman"/>
          <w:sz w:val="24"/>
          <w:szCs w:val="24"/>
        </w:rPr>
        <w:t xml:space="preserve"> multiple bond correlation) enable complete structural assignments of complex natural products. NMR-based metabolomics approaches allow comprehensive profiling of plant extracts, facilitating chemotaxonomic classification, quality control, and identification of bioactive constituents.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Spectroscopic techniques including ultraviolet-visible (UV-Vis), infrared (IR), and fluorescence spectroscopy provide complementary information about phytochemical composition. UV-Vis spectroscopy is particularly useful for quantifying phenolic compounds, flavonoids, and alkaloids, which exhibit characteristic absorption patterns. Fourier-transform infrared (FTIR) spectroscopy provides information about functional groups present in samples and has been applied for fingerprinting and quality control of medicinal plant materials (</w:t>
      </w:r>
      <w:proofErr w:type="spellStart"/>
      <w:r w:rsidRPr="00B14CCC">
        <w:rPr>
          <w:rFonts w:ascii="Times New Roman" w:eastAsia="Times New Roman" w:hAnsi="Times New Roman" w:cs="Times New Roman"/>
          <w:sz w:val="24"/>
          <w:szCs w:val="24"/>
        </w:rPr>
        <w:t>Rohman</w:t>
      </w:r>
      <w:proofErr w:type="spellEnd"/>
      <w:r w:rsidRPr="00B14CCC">
        <w:rPr>
          <w:rFonts w:ascii="Times New Roman" w:eastAsia="Times New Roman" w:hAnsi="Times New Roman" w:cs="Times New Roman"/>
          <w:sz w:val="24"/>
          <w:szCs w:val="24"/>
        </w:rPr>
        <w:t xml:space="preserve"> &amp; </w:t>
      </w:r>
      <w:proofErr w:type="spellStart"/>
      <w:r w:rsidRPr="00B14CCC">
        <w:rPr>
          <w:rFonts w:ascii="Times New Roman" w:eastAsia="Times New Roman" w:hAnsi="Times New Roman" w:cs="Times New Roman"/>
          <w:sz w:val="24"/>
          <w:szCs w:val="24"/>
        </w:rPr>
        <w:t>Che</w:t>
      </w:r>
      <w:proofErr w:type="spellEnd"/>
      <w:r w:rsidRPr="00B14CCC">
        <w:rPr>
          <w:rFonts w:ascii="Times New Roman" w:eastAsia="Times New Roman" w:hAnsi="Times New Roman" w:cs="Times New Roman"/>
          <w:sz w:val="24"/>
          <w:szCs w:val="24"/>
        </w:rPr>
        <w:t xml:space="preserve"> Man, 2010). The technique is rapid, non-destructive, and requires minimal sample preparation, making it suitable for routine analysis and authentication of herbal products.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Metabolomics represents an emerging systems biology approach that aims to comprehensively characterize the complete set of small-molecule metabolites present in biological systems. In phytochemical research, metabolomics platforms typically employ either NMR spectroscopy or MS-based techniques to generate comprehensive metabolic profiles of plant extracts (Kim et al., 2010). These data are then analyzed using multivariate statistical methods such as principal component analysis (PCA) and partial least squares-discriminant analysis (PLS-DA) to identify patterns, classify samples, and discover biomarkers associated with specific biological activities or geographical origins. Metabolomics approaches have proven valuable for quality control of herbal medicines, identification of adulterants, and discovery of novel bioactive compounds.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integration of analytical chemistry with bioassay-guided fractionation represents a powerful strategy for identifying bioactive constituents responsible for observed pharmacological effects. This approach involves systematic fractionation of crude extracts, </w:t>
      </w:r>
      <w:r w:rsidRPr="00B14CCC">
        <w:rPr>
          <w:rFonts w:ascii="Times New Roman" w:eastAsia="Times New Roman" w:hAnsi="Times New Roman" w:cs="Times New Roman"/>
          <w:sz w:val="24"/>
          <w:szCs w:val="24"/>
        </w:rPr>
        <w:lastRenderedPageBreak/>
        <w:t xml:space="preserve">biological testing of </w:t>
      </w:r>
      <w:proofErr w:type="gramStart"/>
      <w:r w:rsidRPr="00B14CCC">
        <w:rPr>
          <w:rFonts w:ascii="Times New Roman" w:eastAsia="Times New Roman" w:hAnsi="Times New Roman" w:cs="Times New Roman"/>
          <w:sz w:val="24"/>
          <w:szCs w:val="24"/>
        </w:rPr>
        <w:t>fractions,</w:t>
      </w:r>
      <w:proofErr w:type="gramEnd"/>
      <w:r w:rsidRPr="00B14CCC">
        <w:rPr>
          <w:rFonts w:ascii="Times New Roman" w:eastAsia="Times New Roman" w:hAnsi="Times New Roman" w:cs="Times New Roman"/>
          <w:sz w:val="24"/>
          <w:szCs w:val="24"/>
        </w:rPr>
        <w:t xml:space="preserve"> and subsequent chemical analysis of bioactive fractions to identify active compounds (Cordell &amp; </w:t>
      </w:r>
      <w:proofErr w:type="spellStart"/>
      <w:r w:rsidRPr="00B14CCC">
        <w:rPr>
          <w:rFonts w:ascii="Times New Roman" w:eastAsia="Times New Roman" w:hAnsi="Times New Roman" w:cs="Times New Roman"/>
          <w:sz w:val="24"/>
          <w:szCs w:val="24"/>
        </w:rPr>
        <w:t>Colvard</w:t>
      </w:r>
      <w:proofErr w:type="spellEnd"/>
      <w:r w:rsidRPr="00B14CCC">
        <w:rPr>
          <w:rFonts w:ascii="Times New Roman" w:eastAsia="Times New Roman" w:hAnsi="Times New Roman" w:cs="Times New Roman"/>
          <w:sz w:val="24"/>
          <w:szCs w:val="24"/>
        </w:rPr>
        <w:t>, 2005). Modern variations of this approach employ high-throughput screening platforms and hyphenated techniques such as HPLC-bioassay, which enables online assessment of biological activity during chromatographic separation. These methodologies accelerate the discovery of bioactive natural products and provide direct links between chemical constituents and biological activities.</w:t>
      </w:r>
    </w:p>
    <w:p w:rsidR="000216FD" w:rsidRPr="00B14CCC" w:rsidRDefault="000216FD"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5. Case Studies: Validation of Indigenous Medicinal Plants</w:t>
      </w:r>
    </w:p>
    <w:p w:rsidR="000216FD" w:rsidRPr="00B14CCC" w:rsidRDefault="000216FD"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 xml:space="preserve">5.1 </w:t>
      </w:r>
      <w:r w:rsidRPr="00B14CCC">
        <w:rPr>
          <w:rFonts w:ascii="Times New Roman" w:eastAsia="Times New Roman" w:hAnsi="Times New Roman" w:cs="Times New Roman"/>
          <w:b/>
          <w:bCs/>
          <w:i/>
          <w:iCs/>
          <w:sz w:val="24"/>
          <w:szCs w:val="24"/>
        </w:rPr>
        <w:t>Curcuma longa</w:t>
      </w:r>
      <w:r w:rsidRPr="00B14CCC">
        <w:rPr>
          <w:rFonts w:ascii="Times New Roman" w:eastAsia="Times New Roman" w:hAnsi="Times New Roman" w:cs="Times New Roman"/>
          <w:b/>
          <w:bCs/>
          <w:sz w:val="24"/>
          <w:szCs w:val="24"/>
        </w:rPr>
        <w:t xml:space="preserve"> (Turmeric)</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i/>
          <w:iCs/>
          <w:sz w:val="24"/>
          <w:szCs w:val="24"/>
        </w:rPr>
        <w:t>Curcuma longa</w:t>
      </w:r>
      <w:r w:rsidRPr="00B14CCC">
        <w:rPr>
          <w:rFonts w:ascii="Times New Roman" w:eastAsia="Times New Roman" w:hAnsi="Times New Roman" w:cs="Times New Roman"/>
          <w:sz w:val="24"/>
          <w:szCs w:val="24"/>
        </w:rPr>
        <w:t xml:space="preserve">, commonly known as turmeric, represents one of the most extensively studied medicinal plants, with documented traditional use in </w:t>
      </w:r>
      <w:proofErr w:type="spellStart"/>
      <w:r w:rsidRPr="00B14CCC">
        <w:rPr>
          <w:rFonts w:ascii="Times New Roman" w:eastAsia="Times New Roman" w:hAnsi="Times New Roman" w:cs="Times New Roman"/>
          <w:sz w:val="24"/>
          <w:szCs w:val="24"/>
        </w:rPr>
        <w:t>Ayurvedic</w:t>
      </w:r>
      <w:proofErr w:type="spellEnd"/>
      <w:r w:rsidRPr="00B14CCC">
        <w:rPr>
          <w:rFonts w:ascii="Times New Roman" w:eastAsia="Times New Roman" w:hAnsi="Times New Roman" w:cs="Times New Roman"/>
          <w:sz w:val="24"/>
          <w:szCs w:val="24"/>
        </w:rPr>
        <w:t xml:space="preserve"> and Traditional Chinese Medicine spanning over 4,000 years. Indigenous populations across the Indian subcontinent and Southeast Asia have employed turmeric for treating inflammatory conditions, wound healing, digestive disorders, and liver ailments, applications that have been substantially validated through contemporary scientific research (Prasad &amp; </w:t>
      </w:r>
      <w:proofErr w:type="spellStart"/>
      <w:r w:rsidRPr="00B14CCC">
        <w:rPr>
          <w:rFonts w:ascii="Times New Roman" w:eastAsia="Times New Roman" w:hAnsi="Times New Roman" w:cs="Times New Roman"/>
          <w:sz w:val="24"/>
          <w:szCs w:val="24"/>
        </w:rPr>
        <w:t>Aggarwal</w:t>
      </w:r>
      <w:proofErr w:type="spellEnd"/>
      <w:r w:rsidRPr="00B14CCC">
        <w:rPr>
          <w:rFonts w:ascii="Times New Roman" w:eastAsia="Times New Roman" w:hAnsi="Times New Roman" w:cs="Times New Roman"/>
          <w:sz w:val="24"/>
          <w:szCs w:val="24"/>
        </w:rPr>
        <w:t xml:space="preserve">, 2011). The rhizomes of </w:t>
      </w:r>
      <w:r w:rsidRPr="00B14CCC">
        <w:rPr>
          <w:rFonts w:ascii="Times New Roman" w:eastAsia="Times New Roman" w:hAnsi="Times New Roman" w:cs="Times New Roman"/>
          <w:i/>
          <w:iCs/>
          <w:sz w:val="24"/>
          <w:szCs w:val="24"/>
        </w:rPr>
        <w:t>C. longa</w:t>
      </w:r>
      <w:r w:rsidRPr="00B14CCC">
        <w:rPr>
          <w:rFonts w:ascii="Times New Roman" w:eastAsia="Times New Roman" w:hAnsi="Times New Roman" w:cs="Times New Roman"/>
          <w:sz w:val="24"/>
          <w:szCs w:val="24"/>
        </w:rPr>
        <w:t xml:space="preserve"> contain a complex mixture of bioactive constituents, with </w:t>
      </w:r>
      <w:proofErr w:type="spellStart"/>
      <w:r w:rsidRPr="00B14CCC">
        <w:rPr>
          <w:rFonts w:ascii="Times New Roman" w:eastAsia="Times New Roman" w:hAnsi="Times New Roman" w:cs="Times New Roman"/>
          <w:sz w:val="24"/>
          <w:szCs w:val="24"/>
        </w:rPr>
        <w:t>curcuminoids</w:t>
      </w:r>
      <w:proofErr w:type="spellEnd"/>
      <w:r w:rsidRPr="00B14CCC">
        <w:rPr>
          <w:rFonts w:ascii="Times New Roman" w:eastAsia="Times New Roman" w:hAnsi="Times New Roman" w:cs="Times New Roman"/>
          <w:sz w:val="24"/>
          <w:szCs w:val="24"/>
        </w:rPr>
        <w:t xml:space="preserve"> representing the primary pharmacologically active components. </w:t>
      </w:r>
      <w:proofErr w:type="spellStart"/>
      <w:r w:rsidRPr="00B14CCC">
        <w:rPr>
          <w:rFonts w:ascii="Times New Roman" w:eastAsia="Times New Roman" w:hAnsi="Times New Roman" w:cs="Times New Roman"/>
          <w:sz w:val="24"/>
          <w:szCs w:val="24"/>
        </w:rPr>
        <w:t>Curcumin</w:t>
      </w:r>
      <w:proofErr w:type="spellEnd"/>
      <w:r w:rsidRPr="00B14CCC">
        <w:rPr>
          <w:rFonts w:ascii="Times New Roman" w:eastAsia="Times New Roman" w:hAnsi="Times New Roman" w:cs="Times New Roman"/>
          <w:sz w:val="24"/>
          <w:szCs w:val="24"/>
        </w:rPr>
        <w:t xml:space="preserve">, the principal </w:t>
      </w:r>
      <w:proofErr w:type="spellStart"/>
      <w:r w:rsidRPr="00B14CCC">
        <w:rPr>
          <w:rFonts w:ascii="Times New Roman" w:eastAsia="Times New Roman" w:hAnsi="Times New Roman" w:cs="Times New Roman"/>
          <w:sz w:val="24"/>
          <w:szCs w:val="24"/>
        </w:rPr>
        <w:t>curcuminoid</w:t>
      </w:r>
      <w:proofErr w:type="spellEnd"/>
      <w:r w:rsidRPr="00B14CCC">
        <w:rPr>
          <w:rFonts w:ascii="Times New Roman" w:eastAsia="Times New Roman" w:hAnsi="Times New Roman" w:cs="Times New Roman"/>
          <w:sz w:val="24"/>
          <w:szCs w:val="24"/>
        </w:rPr>
        <w:t>, comprises approximately 2-5% of turmeric powder and has been the subject of over 10,000 published scientific studies investigating its diverse biological activities.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Phytochemical analysis using HPLC-MS/MS has identified numerous compounds in turmeric extracts beyond the well-characterized </w:t>
      </w:r>
      <w:proofErr w:type="spellStart"/>
      <w:r w:rsidRPr="00B14CCC">
        <w:rPr>
          <w:rFonts w:ascii="Times New Roman" w:eastAsia="Times New Roman" w:hAnsi="Times New Roman" w:cs="Times New Roman"/>
          <w:sz w:val="24"/>
          <w:szCs w:val="24"/>
        </w:rPr>
        <w:t>curcuminoids</w:t>
      </w:r>
      <w:proofErr w:type="spellEnd"/>
      <w:r w:rsidRPr="00B14CCC">
        <w:rPr>
          <w:rFonts w:ascii="Times New Roman" w:eastAsia="Times New Roman" w:hAnsi="Times New Roman" w:cs="Times New Roman"/>
          <w:sz w:val="24"/>
          <w:szCs w:val="24"/>
        </w:rPr>
        <w:t xml:space="preserve">, including essential oils containing </w:t>
      </w:r>
      <w:proofErr w:type="spellStart"/>
      <w:r w:rsidRPr="00B14CCC">
        <w:rPr>
          <w:rFonts w:ascii="Times New Roman" w:eastAsia="Times New Roman" w:hAnsi="Times New Roman" w:cs="Times New Roman"/>
          <w:sz w:val="24"/>
          <w:szCs w:val="24"/>
        </w:rPr>
        <w:t>turmerone</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atlantone</w:t>
      </w:r>
      <w:proofErr w:type="spellEnd"/>
      <w:r w:rsidRPr="00B14CCC">
        <w:rPr>
          <w:rFonts w:ascii="Times New Roman" w:eastAsia="Times New Roman" w:hAnsi="Times New Roman" w:cs="Times New Roman"/>
          <w:sz w:val="24"/>
          <w:szCs w:val="24"/>
        </w:rPr>
        <w:t xml:space="preserve">, and </w:t>
      </w:r>
      <w:proofErr w:type="spellStart"/>
      <w:r w:rsidRPr="00B14CCC">
        <w:rPr>
          <w:rFonts w:ascii="Times New Roman" w:eastAsia="Times New Roman" w:hAnsi="Times New Roman" w:cs="Times New Roman"/>
          <w:sz w:val="24"/>
          <w:szCs w:val="24"/>
        </w:rPr>
        <w:t>zingiberene</w:t>
      </w:r>
      <w:proofErr w:type="spellEnd"/>
      <w:r w:rsidRPr="00B14CCC">
        <w:rPr>
          <w:rFonts w:ascii="Times New Roman" w:eastAsia="Times New Roman" w:hAnsi="Times New Roman" w:cs="Times New Roman"/>
          <w:sz w:val="24"/>
          <w:szCs w:val="24"/>
        </w:rPr>
        <w:t>, as well as proteins, resins, and sugars (</w:t>
      </w:r>
      <w:proofErr w:type="spellStart"/>
      <w:r w:rsidRPr="00B14CCC">
        <w:rPr>
          <w:rFonts w:ascii="Times New Roman" w:eastAsia="Times New Roman" w:hAnsi="Times New Roman" w:cs="Times New Roman"/>
          <w:sz w:val="24"/>
          <w:szCs w:val="24"/>
        </w:rPr>
        <w:t>Jayaprakasha</w:t>
      </w:r>
      <w:proofErr w:type="spellEnd"/>
      <w:r w:rsidRPr="00B14CCC">
        <w:rPr>
          <w:rFonts w:ascii="Times New Roman" w:eastAsia="Times New Roman" w:hAnsi="Times New Roman" w:cs="Times New Roman"/>
          <w:sz w:val="24"/>
          <w:szCs w:val="24"/>
        </w:rPr>
        <w:t xml:space="preserve"> et al., 2005). The </w:t>
      </w:r>
      <w:proofErr w:type="spellStart"/>
      <w:r w:rsidRPr="00B14CCC">
        <w:rPr>
          <w:rFonts w:ascii="Times New Roman" w:eastAsia="Times New Roman" w:hAnsi="Times New Roman" w:cs="Times New Roman"/>
          <w:sz w:val="24"/>
          <w:szCs w:val="24"/>
        </w:rPr>
        <w:t>curcuminoid</w:t>
      </w:r>
      <w:proofErr w:type="spellEnd"/>
      <w:r w:rsidRPr="00B14CCC">
        <w:rPr>
          <w:rFonts w:ascii="Times New Roman" w:eastAsia="Times New Roman" w:hAnsi="Times New Roman" w:cs="Times New Roman"/>
          <w:sz w:val="24"/>
          <w:szCs w:val="24"/>
        </w:rPr>
        <w:t xml:space="preserve"> fraction consists primarily of </w:t>
      </w:r>
      <w:proofErr w:type="spellStart"/>
      <w:r w:rsidRPr="00B14CCC">
        <w:rPr>
          <w:rFonts w:ascii="Times New Roman" w:eastAsia="Times New Roman" w:hAnsi="Times New Roman" w:cs="Times New Roman"/>
          <w:sz w:val="24"/>
          <w:szCs w:val="24"/>
        </w:rPr>
        <w:t>curcumin</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diferuloylmethane</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demethoxycurcumin</w:t>
      </w:r>
      <w:proofErr w:type="spellEnd"/>
      <w:r w:rsidRPr="00B14CCC">
        <w:rPr>
          <w:rFonts w:ascii="Times New Roman" w:eastAsia="Times New Roman" w:hAnsi="Times New Roman" w:cs="Times New Roman"/>
          <w:sz w:val="24"/>
          <w:szCs w:val="24"/>
        </w:rPr>
        <w:t xml:space="preserve">, and </w:t>
      </w:r>
      <w:proofErr w:type="spellStart"/>
      <w:r w:rsidRPr="00B14CCC">
        <w:rPr>
          <w:rFonts w:ascii="Times New Roman" w:eastAsia="Times New Roman" w:hAnsi="Times New Roman" w:cs="Times New Roman"/>
          <w:sz w:val="24"/>
          <w:szCs w:val="24"/>
        </w:rPr>
        <w:t>bisdemethoxycurcumin</w:t>
      </w:r>
      <w:proofErr w:type="spellEnd"/>
      <w:r w:rsidRPr="00B14CCC">
        <w:rPr>
          <w:rFonts w:ascii="Times New Roman" w:eastAsia="Times New Roman" w:hAnsi="Times New Roman" w:cs="Times New Roman"/>
          <w:sz w:val="24"/>
          <w:szCs w:val="24"/>
        </w:rPr>
        <w:t xml:space="preserve">, which collectively contribute to the plant's therapeutic properties. Extensive pharmacological investigations have demonstrated that </w:t>
      </w:r>
      <w:proofErr w:type="spellStart"/>
      <w:r w:rsidRPr="00B14CCC">
        <w:rPr>
          <w:rFonts w:ascii="Times New Roman" w:eastAsia="Times New Roman" w:hAnsi="Times New Roman" w:cs="Times New Roman"/>
          <w:sz w:val="24"/>
          <w:szCs w:val="24"/>
        </w:rPr>
        <w:t>curcumin</w:t>
      </w:r>
      <w:proofErr w:type="spellEnd"/>
      <w:r w:rsidRPr="00B14CCC">
        <w:rPr>
          <w:rFonts w:ascii="Times New Roman" w:eastAsia="Times New Roman" w:hAnsi="Times New Roman" w:cs="Times New Roman"/>
          <w:sz w:val="24"/>
          <w:szCs w:val="24"/>
        </w:rPr>
        <w:t xml:space="preserve"> exhibits potent anti-inflammatory effects through inhibition of multiple inflammatory pathways, including nuclear factor-kappa B (NF-</w:t>
      </w:r>
      <w:proofErr w:type="spellStart"/>
      <w:r w:rsidRPr="00B14CCC">
        <w:rPr>
          <w:rFonts w:ascii="Times New Roman" w:eastAsia="Times New Roman" w:hAnsi="Times New Roman" w:cs="Times New Roman"/>
          <w:sz w:val="24"/>
          <w:szCs w:val="24"/>
        </w:rPr>
        <w:t>κB</w:t>
      </w:r>
      <w:proofErr w:type="spellEnd"/>
      <w:r w:rsidRPr="00B14CCC">
        <w:rPr>
          <w:rFonts w:ascii="Times New Roman" w:eastAsia="Times New Roman" w:hAnsi="Times New Roman" w:cs="Times New Roman"/>
          <w:sz w:val="24"/>
          <w:szCs w:val="24"/>
        </w:rPr>
        <w:t xml:space="preserve">), cyclooxygenase-2 (COX-2), and </w:t>
      </w:r>
      <w:proofErr w:type="spellStart"/>
      <w:r w:rsidRPr="00B14CCC">
        <w:rPr>
          <w:rFonts w:ascii="Times New Roman" w:eastAsia="Times New Roman" w:hAnsi="Times New Roman" w:cs="Times New Roman"/>
          <w:sz w:val="24"/>
          <w:szCs w:val="24"/>
        </w:rPr>
        <w:t>lipoxygenase</w:t>
      </w:r>
      <w:proofErr w:type="spellEnd"/>
      <w:r w:rsidRPr="00B14CCC">
        <w:rPr>
          <w:rFonts w:ascii="Times New Roman" w:eastAsia="Times New Roman" w:hAnsi="Times New Roman" w:cs="Times New Roman"/>
          <w:sz w:val="24"/>
          <w:szCs w:val="24"/>
        </w:rPr>
        <w:t xml:space="preserve"> (LOX) pathways. These mechanisms provide scientific validation for the traditional use of turmeric in treating inflammatory conditions such as arthritis, with clinical trials demonstrating efficacy comparable to non-steroidal anti-inflammatory drugs in some contexts.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antioxidant properties of </w:t>
      </w:r>
      <w:proofErr w:type="spellStart"/>
      <w:r w:rsidRPr="00B14CCC">
        <w:rPr>
          <w:rFonts w:ascii="Times New Roman" w:eastAsia="Times New Roman" w:hAnsi="Times New Roman" w:cs="Times New Roman"/>
          <w:sz w:val="24"/>
          <w:szCs w:val="24"/>
        </w:rPr>
        <w:t>curcumin</w:t>
      </w:r>
      <w:proofErr w:type="spellEnd"/>
      <w:r w:rsidRPr="00B14CCC">
        <w:rPr>
          <w:rFonts w:ascii="Times New Roman" w:eastAsia="Times New Roman" w:hAnsi="Times New Roman" w:cs="Times New Roman"/>
          <w:sz w:val="24"/>
          <w:szCs w:val="24"/>
        </w:rPr>
        <w:t xml:space="preserve"> have been extensively characterized, with studies demonstrating its ability to scavenge various reactive oxygen species and </w:t>
      </w:r>
      <w:proofErr w:type="spellStart"/>
      <w:r w:rsidRPr="00B14CCC">
        <w:rPr>
          <w:rFonts w:ascii="Times New Roman" w:eastAsia="Times New Roman" w:hAnsi="Times New Roman" w:cs="Times New Roman"/>
          <w:sz w:val="24"/>
          <w:szCs w:val="24"/>
        </w:rPr>
        <w:t>upregulate</w:t>
      </w:r>
      <w:proofErr w:type="spellEnd"/>
      <w:r w:rsidRPr="00B14CCC">
        <w:rPr>
          <w:rFonts w:ascii="Times New Roman" w:eastAsia="Times New Roman" w:hAnsi="Times New Roman" w:cs="Times New Roman"/>
          <w:sz w:val="24"/>
          <w:szCs w:val="24"/>
        </w:rPr>
        <w:t xml:space="preserve"> endogenous antioxidant enzymes through activation of the Nrf2 pathway (</w:t>
      </w:r>
      <w:proofErr w:type="spellStart"/>
      <w:r w:rsidRPr="00B14CCC">
        <w:rPr>
          <w:rFonts w:ascii="Times New Roman" w:eastAsia="Times New Roman" w:hAnsi="Times New Roman" w:cs="Times New Roman"/>
          <w:sz w:val="24"/>
          <w:szCs w:val="24"/>
        </w:rPr>
        <w:t>Aggarwal</w:t>
      </w:r>
      <w:proofErr w:type="spellEnd"/>
      <w:r w:rsidRPr="00B14CCC">
        <w:rPr>
          <w:rFonts w:ascii="Times New Roman" w:eastAsia="Times New Roman" w:hAnsi="Times New Roman" w:cs="Times New Roman"/>
          <w:sz w:val="24"/>
          <w:szCs w:val="24"/>
        </w:rPr>
        <w:t xml:space="preserve"> &amp; </w:t>
      </w:r>
      <w:proofErr w:type="spellStart"/>
      <w:r w:rsidRPr="00B14CCC">
        <w:rPr>
          <w:rFonts w:ascii="Times New Roman" w:eastAsia="Times New Roman" w:hAnsi="Times New Roman" w:cs="Times New Roman"/>
          <w:sz w:val="24"/>
          <w:szCs w:val="24"/>
        </w:rPr>
        <w:t>Harikumar</w:t>
      </w:r>
      <w:proofErr w:type="spellEnd"/>
      <w:r w:rsidRPr="00B14CCC">
        <w:rPr>
          <w:rFonts w:ascii="Times New Roman" w:eastAsia="Times New Roman" w:hAnsi="Times New Roman" w:cs="Times New Roman"/>
          <w:sz w:val="24"/>
          <w:szCs w:val="24"/>
        </w:rPr>
        <w:t xml:space="preserve">, 2009). This antioxidant activity contributes to </w:t>
      </w:r>
      <w:proofErr w:type="spellStart"/>
      <w:r w:rsidRPr="00B14CCC">
        <w:rPr>
          <w:rFonts w:ascii="Times New Roman" w:eastAsia="Times New Roman" w:hAnsi="Times New Roman" w:cs="Times New Roman"/>
          <w:sz w:val="24"/>
          <w:szCs w:val="24"/>
        </w:rPr>
        <w:t>curcumin's</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hepatoprotective</w:t>
      </w:r>
      <w:proofErr w:type="spellEnd"/>
      <w:r w:rsidRPr="00B14CCC">
        <w:rPr>
          <w:rFonts w:ascii="Times New Roman" w:eastAsia="Times New Roman" w:hAnsi="Times New Roman" w:cs="Times New Roman"/>
          <w:sz w:val="24"/>
          <w:szCs w:val="24"/>
        </w:rPr>
        <w:t xml:space="preserve"> effects, supporting its traditional use for liver disorders. Furthermore, research has revealed </w:t>
      </w:r>
      <w:proofErr w:type="spellStart"/>
      <w:r w:rsidRPr="00B14CCC">
        <w:rPr>
          <w:rFonts w:ascii="Times New Roman" w:eastAsia="Times New Roman" w:hAnsi="Times New Roman" w:cs="Times New Roman"/>
          <w:sz w:val="24"/>
          <w:szCs w:val="24"/>
        </w:rPr>
        <w:t>curcumin's</w:t>
      </w:r>
      <w:proofErr w:type="spellEnd"/>
      <w:r w:rsidRPr="00B14CCC">
        <w:rPr>
          <w:rFonts w:ascii="Times New Roman" w:eastAsia="Times New Roman" w:hAnsi="Times New Roman" w:cs="Times New Roman"/>
          <w:sz w:val="24"/>
          <w:szCs w:val="24"/>
        </w:rPr>
        <w:t xml:space="preserve"> anticancer properties, with mechanistic studies indicating its ability to modulate multiple cellular signaling pathways involved in cancer development and progression, including those regulating cell proliferation, apoptosis, angiogenesis, and metastasis. Clinical investigations have explored </w:t>
      </w:r>
      <w:proofErr w:type="spellStart"/>
      <w:r w:rsidRPr="00B14CCC">
        <w:rPr>
          <w:rFonts w:ascii="Times New Roman" w:eastAsia="Times New Roman" w:hAnsi="Times New Roman" w:cs="Times New Roman"/>
          <w:sz w:val="24"/>
          <w:szCs w:val="24"/>
        </w:rPr>
        <w:t>curcumin's</w:t>
      </w:r>
      <w:proofErr w:type="spellEnd"/>
      <w:r w:rsidRPr="00B14CCC">
        <w:rPr>
          <w:rFonts w:ascii="Times New Roman" w:eastAsia="Times New Roman" w:hAnsi="Times New Roman" w:cs="Times New Roman"/>
          <w:sz w:val="24"/>
          <w:szCs w:val="24"/>
        </w:rPr>
        <w:t xml:space="preserve"> potential in preventing and treating various cancers, </w:t>
      </w:r>
      <w:r w:rsidRPr="00B14CCC">
        <w:rPr>
          <w:rFonts w:ascii="Times New Roman" w:eastAsia="Times New Roman" w:hAnsi="Times New Roman" w:cs="Times New Roman"/>
          <w:sz w:val="24"/>
          <w:szCs w:val="24"/>
        </w:rPr>
        <w:lastRenderedPageBreak/>
        <w:t>with promising results particularly in colorectal cancer prevention and management of precancerous lesions.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Despite its impressive biological activities, </w:t>
      </w:r>
      <w:proofErr w:type="spellStart"/>
      <w:r w:rsidRPr="00B14CCC">
        <w:rPr>
          <w:rFonts w:ascii="Times New Roman" w:eastAsia="Times New Roman" w:hAnsi="Times New Roman" w:cs="Times New Roman"/>
          <w:sz w:val="24"/>
          <w:szCs w:val="24"/>
        </w:rPr>
        <w:t>curcumin</w:t>
      </w:r>
      <w:proofErr w:type="spellEnd"/>
      <w:r w:rsidRPr="00B14CCC">
        <w:rPr>
          <w:rFonts w:ascii="Times New Roman" w:eastAsia="Times New Roman" w:hAnsi="Times New Roman" w:cs="Times New Roman"/>
          <w:sz w:val="24"/>
          <w:szCs w:val="24"/>
        </w:rPr>
        <w:t xml:space="preserve"> faces significant challenges related to bioavailability, as it exhibits poor absorption, rapid metabolism, and rapid systemic elimination. This limitation has spurred development of various formulation strategies to enhance bioavailability, including nanoparticle encapsulation, liposomal delivery, and co-administration with </w:t>
      </w:r>
      <w:proofErr w:type="spellStart"/>
      <w:r w:rsidRPr="00B14CCC">
        <w:rPr>
          <w:rFonts w:ascii="Times New Roman" w:eastAsia="Times New Roman" w:hAnsi="Times New Roman" w:cs="Times New Roman"/>
          <w:sz w:val="24"/>
          <w:szCs w:val="24"/>
        </w:rPr>
        <w:t>piperine</w:t>
      </w:r>
      <w:proofErr w:type="spellEnd"/>
      <w:r w:rsidRPr="00B14CCC">
        <w:rPr>
          <w:rFonts w:ascii="Times New Roman" w:eastAsia="Times New Roman" w:hAnsi="Times New Roman" w:cs="Times New Roman"/>
          <w:sz w:val="24"/>
          <w:szCs w:val="24"/>
        </w:rPr>
        <w:t xml:space="preserve">, a compound from black pepper that inhibits </w:t>
      </w:r>
      <w:proofErr w:type="spellStart"/>
      <w:r w:rsidRPr="00B14CCC">
        <w:rPr>
          <w:rFonts w:ascii="Times New Roman" w:eastAsia="Times New Roman" w:hAnsi="Times New Roman" w:cs="Times New Roman"/>
          <w:sz w:val="24"/>
          <w:szCs w:val="24"/>
        </w:rPr>
        <w:t>curcumin</w:t>
      </w:r>
      <w:proofErr w:type="spellEnd"/>
      <w:r w:rsidRPr="00B14CCC">
        <w:rPr>
          <w:rFonts w:ascii="Times New Roman" w:eastAsia="Times New Roman" w:hAnsi="Times New Roman" w:cs="Times New Roman"/>
          <w:sz w:val="24"/>
          <w:szCs w:val="24"/>
        </w:rPr>
        <w:t xml:space="preserve"> metabolism (</w:t>
      </w:r>
      <w:proofErr w:type="spellStart"/>
      <w:r w:rsidRPr="00B14CCC">
        <w:rPr>
          <w:rFonts w:ascii="Times New Roman" w:eastAsia="Times New Roman" w:hAnsi="Times New Roman" w:cs="Times New Roman"/>
          <w:sz w:val="24"/>
          <w:szCs w:val="24"/>
        </w:rPr>
        <w:t>Hewlings</w:t>
      </w:r>
      <w:proofErr w:type="spellEnd"/>
      <w:r w:rsidRPr="00B14CCC">
        <w:rPr>
          <w:rFonts w:ascii="Times New Roman" w:eastAsia="Times New Roman" w:hAnsi="Times New Roman" w:cs="Times New Roman"/>
          <w:sz w:val="24"/>
          <w:szCs w:val="24"/>
        </w:rPr>
        <w:t xml:space="preserve"> &amp; </w:t>
      </w:r>
      <w:proofErr w:type="spellStart"/>
      <w:r w:rsidRPr="00B14CCC">
        <w:rPr>
          <w:rFonts w:ascii="Times New Roman" w:eastAsia="Times New Roman" w:hAnsi="Times New Roman" w:cs="Times New Roman"/>
          <w:sz w:val="24"/>
          <w:szCs w:val="24"/>
        </w:rPr>
        <w:t>Kalman</w:t>
      </w:r>
      <w:proofErr w:type="spellEnd"/>
      <w:r w:rsidRPr="00B14CCC">
        <w:rPr>
          <w:rFonts w:ascii="Times New Roman" w:eastAsia="Times New Roman" w:hAnsi="Times New Roman" w:cs="Times New Roman"/>
          <w:sz w:val="24"/>
          <w:szCs w:val="24"/>
        </w:rPr>
        <w:t xml:space="preserve">, 2017). Interestingly, traditional </w:t>
      </w:r>
      <w:proofErr w:type="spellStart"/>
      <w:r w:rsidRPr="00B14CCC">
        <w:rPr>
          <w:rFonts w:ascii="Times New Roman" w:eastAsia="Times New Roman" w:hAnsi="Times New Roman" w:cs="Times New Roman"/>
          <w:sz w:val="24"/>
          <w:szCs w:val="24"/>
        </w:rPr>
        <w:t>Ayurvedic</w:t>
      </w:r>
      <w:proofErr w:type="spellEnd"/>
      <w:r w:rsidRPr="00B14CCC">
        <w:rPr>
          <w:rFonts w:ascii="Times New Roman" w:eastAsia="Times New Roman" w:hAnsi="Times New Roman" w:cs="Times New Roman"/>
          <w:sz w:val="24"/>
          <w:szCs w:val="24"/>
        </w:rPr>
        <w:t xml:space="preserve"> preparations often combine turmeric with black pepper and fats, practices that contemporary science has shown to enhance </w:t>
      </w:r>
      <w:proofErr w:type="spellStart"/>
      <w:r w:rsidRPr="00B14CCC">
        <w:rPr>
          <w:rFonts w:ascii="Times New Roman" w:eastAsia="Times New Roman" w:hAnsi="Times New Roman" w:cs="Times New Roman"/>
          <w:sz w:val="24"/>
          <w:szCs w:val="24"/>
        </w:rPr>
        <w:t>curcumin</w:t>
      </w:r>
      <w:proofErr w:type="spellEnd"/>
      <w:r w:rsidRPr="00B14CCC">
        <w:rPr>
          <w:rFonts w:ascii="Times New Roman" w:eastAsia="Times New Roman" w:hAnsi="Times New Roman" w:cs="Times New Roman"/>
          <w:sz w:val="24"/>
          <w:szCs w:val="24"/>
        </w:rPr>
        <w:t xml:space="preserve"> bioavailability, demonstrating the empirical sophistication of indigenous medicinal systems.</w:t>
      </w:r>
    </w:p>
    <w:p w:rsidR="000216FD" w:rsidRPr="00B14CCC" w:rsidRDefault="000216FD"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 xml:space="preserve">5.2 </w:t>
      </w:r>
      <w:r w:rsidRPr="00B14CCC">
        <w:rPr>
          <w:rFonts w:ascii="Times New Roman" w:eastAsia="Times New Roman" w:hAnsi="Times New Roman" w:cs="Times New Roman"/>
          <w:b/>
          <w:bCs/>
          <w:i/>
          <w:iCs/>
          <w:sz w:val="24"/>
          <w:szCs w:val="24"/>
        </w:rPr>
        <w:t xml:space="preserve">Artemisia </w:t>
      </w:r>
      <w:proofErr w:type="spellStart"/>
      <w:r w:rsidRPr="00B14CCC">
        <w:rPr>
          <w:rFonts w:ascii="Times New Roman" w:eastAsia="Times New Roman" w:hAnsi="Times New Roman" w:cs="Times New Roman"/>
          <w:b/>
          <w:bCs/>
          <w:i/>
          <w:iCs/>
          <w:sz w:val="24"/>
          <w:szCs w:val="24"/>
        </w:rPr>
        <w:t>annua</w:t>
      </w:r>
      <w:proofErr w:type="spellEnd"/>
      <w:r w:rsidRPr="00B14CCC">
        <w:rPr>
          <w:rFonts w:ascii="Times New Roman" w:eastAsia="Times New Roman" w:hAnsi="Times New Roman" w:cs="Times New Roman"/>
          <w:b/>
          <w:bCs/>
          <w:sz w:val="24"/>
          <w:szCs w:val="24"/>
        </w:rPr>
        <w:t xml:space="preserve"> (Sweet Wormwood)</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story of </w:t>
      </w:r>
      <w:r w:rsidRPr="00B14CCC">
        <w:rPr>
          <w:rFonts w:ascii="Times New Roman" w:eastAsia="Times New Roman" w:hAnsi="Times New Roman" w:cs="Times New Roman"/>
          <w:i/>
          <w:iCs/>
          <w:sz w:val="24"/>
          <w:szCs w:val="24"/>
        </w:rPr>
        <w:t xml:space="preserve">Artemisia </w:t>
      </w:r>
      <w:proofErr w:type="spellStart"/>
      <w:r w:rsidRPr="00B14CCC">
        <w:rPr>
          <w:rFonts w:ascii="Times New Roman" w:eastAsia="Times New Roman" w:hAnsi="Times New Roman" w:cs="Times New Roman"/>
          <w:i/>
          <w:iCs/>
          <w:sz w:val="24"/>
          <w:szCs w:val="24"/>
        </w:rPr>
        <w:t>annua</w:t>
      </w:r>
      <w:proofErr w:type="spellEnd"/>
      <w:r w:rsidRPr="00B14CCC">
        <w:rPr>
          <w:rFonts w:ascii="Times New Roman" w:eastAsia="Times New Roman" w:hAnsi="Times New Roman" w:cs="Times New Roman"/>
          <w:sz w:val="24"/>
          <w:szCs w:val="24"/>
        </w:rPr>
        <w:t xml:space="preserve"> and its principal bioactive compound </w:t>
      </w:r>
      <w:proofErr w:type="spellStart"/>
      <w:r w:rsidRPr="00B14CCC">
        <w:rPr>
          <w:rFonts w:ascii="Times New Roman" w:eastAsia="Times New Roman" w:hAnsi="Times New Roman" w:cs="Times New Roman"/>
          <w:sz w:val="24"/>
          <w:szCs w:val="24"/>
        </w:rPr>
        <w:t>artemisinin</w:t>
      </w:r>
      <w:proofErr w:type="spellEnd"/>
      <w:r w:rsidRPr="00B14CCC">
        <w:rPr>
          <w:rFonts w:ascii="Times New Roman" w:eastAsia="Times New Roman" w:hAnsi="Times New Roman" w:cs="Times New Roman"/>
          <w:sz w:val="24"/>
          <w:szCs w:val="24"/>
        </w:rPr>
        <w:t xml:space="preserve"> represents a paradigm case study in the validation of traditional medicinal knowledge through modern science, culminating in the 2015 Nobel Prize in Physiology or Medicine awarded to Dr. </w:t>
      </w:r>
      <w:proofErr w:type="spellStart"/>
      <w:r w:rsidRPr="00B14CCC">
        <w:rPr>
          <w:rFonts w:ascii="Times New Roman" w:eastAsia="Times New Roman" w:hAnsi="Times New Roman" w:cs="Times New Roman"/>
          <w:sz w:val="24"/>
          <w:szCs w:val="24"/>
        </w:rPr>
        <w:t>Youyou</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Tu</w:t>
      </w:r>
      <w:proofErr w:type="spellEnd"/>
      <w:r w:rsidRPr="00B14CCC">
        <w:rPr>
          <w:rFonts w:ascii="Times New Roman" w:eastAsia="Times New Roman" w:hAnsi="Times New Roman" w:cs="Times New Roman"/>
          <w:sz w:val="24"/>
          <w:szCs w:val="24"/>
        </w:rPr>
        <w:t xml:space="preserve"> for the discovery and development of </w:t>
      </w:r>
      <w:proofErr w:type="spellStart"/>
      <w:r w:rsidRPr="00B14CCC">
        <w:rPr>
          <w:rFonts w:ascii="Times New Roman" w:eastAsia="Times New Roman" w:hAnsi="Times New Roman" w:cs="Times New Roman"/>
          <w:sz w:val="24"/>
          <w:szCs w:val="24"/>
        </w:rPr>
        <w:t>artemisinin</w:t>
      </w:r>
      <w:proofErr w:type="spellEnd"/>
      <w:r w:rsidRPr="00B14CCC">
        <w:rPr>
          <w:rFonts w:ascii="Times New Roman" w:eastAsia="Times New Roman" w:hAnsi="Times New Roman" w:cs="Times New Roman"/>
          <w:sz w:val="24"/>
          <w:szCs w:val="24"/>
        </w:rPr>
        <w:t xml:space="preserve"> as an antimalarial agent. </w:t>
      </w:r>
      <w:r w:rsidRPr="00B14CCC">
        <w:rPr>
          <w:rFonts w:ascii="Times New Roman" w:eastAsia="Times New Roman" w:hAnsi="Times New Roman" w:cs="Times New Roman"/>
          <w:i/>
          <w:iCs/>
          <w:sz w:val="24"/>
          <w:szCs w:val="24"/>
        </w:rPr>
        <w:t xml:space="preserve">A. </w:t>
      </w:r>
      <w:proofErr w:type="spellStart"/>
      <w:r w:rsidRPr="00B14CCC">
        <w:rPr>
          <w:rFonts w:ascii="Times New Roman" w:eastAsia="Times New Roman" w:hAnsi="Times New Roman" w:cs="Times New Roman"/>
          <w:i/>
          <w:iCs/>
          <w:sz w:val="24"/>
          <w:szCs w:val="24"/>
        </w:rPr>
        <w:t>annua</w:t>
      </w:r>
      <w:proofErr w:type="spellEnd"/>
      <w:r w:rsidRPr="00B14CCC">
        <w:rPr>
          <w:rFonts w:ascii="Times New Roman" w:eastAsia="Times New Roman" w:hAnsi="Times New Roman" w:cs="Times New Roman"/>
          <w:sz w:val="24"/>
          <w:szCs w:val="24"/>
        </w:rPr>
        <w:t xml:space="preserve"> has been employed in Traditional Chinese Medicine for over 2,000 years, with historical texts describing its use for treating "intermittent fevers," a symptom pattern consistent with malaria (</w:t>
      </w:r>
      <w:proofErr w:type="spellStart"/>
      <w:r w:rsidRPr="00B14CCC">
        <w:rPr>
          <w:rFonts w:ascii="Times New Roman" w:eastAsia="Times New Roman" w:hAnsi="Times New Roman" w:cs="Times New Roman"/>
          <w:sz w:val="24"/>
          <w:szCs w:val="24"/>
        </w:rPr>
        <w:t>Tu</w:t>
      </w:r>
      <w:proofErr w:type="spellEnd"/>
      <w:r w:rsidRPr="00B14CCC">
        <w:rPr>
          <w:rFonts w:ascii="Times New Roman" w:eastAsia="Times New Roman" w:hAnsi="Times New Roman" w:cs="Times New Roman"/>
          <w:sz w:val="24"/>
          <w:szCs w:val="24"/>
        </w:rPr>
        <w:t xml:space="preserve">, 2011). Dr. </w:t>
      </w:r>
      <w:proofErr w:type="spellStart"/>
      <w:r w:rsidRPr="00B14CCC">
        <w:rPr>
          <w:rFonts w:ascii="Times New Roman" w:eastAsia="Times New Roman" w:hAnsi="Times New Roman" w:cs="Times New Roman"/>
          <w:sz w:val="24"/>
          <w:szCs w:val="24"/>
        </w:rPr>
        <w:t>Tu's</w:t>
      </w:r>
      <w:proofErr w:type="spellEnd"/>
      <w:r w:rsidRPr="00B14CCC">
        <w:rPr>
          <w:rFonts w:ascii="Times New Roman" w:eastAsia="Times New Roman" w:hAnsi="Times New Roman" w:cs="Times New Roman"/>
          <w:sz w:val="24"/>
          <w:szCs w:val="24"/>
        </w:rPr>
        <w:t xml:space="preserve"> systematic investigation of traditional Chinese medical literature led to the identification of </w:t>
      </w:r>
      <w:r w:rsidRPr="00B14CCC">
        <w:rPr>
          <w:rFonts w:ascii="Times New Roman" w:eastAsia="Times New Roman" w:hAnsi="Times New Roman" w:cs="Times New Roman"/>
          <w:i/>
          <w:iCs/>
          <w:sz w:val="24"/>
          <w:szCs w:val="24"/>
        </w:rPr>
        <w:t xml:space="preserve">A. </w:t>
      </w:r>
      <w:proofErr w:type="spellStart"/>
      <w:r w:rsidRPr="00B14CCC">
        <w:rPr>
          <w:rFonts w:ascii="Times New Roman" w:eastAsia="Times New Roman" w:hAnsi="Times New Roman" w:cs="Times New Roman"/>
          <w:i/>
          <w:iCs/>
          <w:sz w:val="24"/>
          <w:szCs w:val="24"/>
        </w:rPr>
        <w:t>annua</w:t>
      </w:r>
      <w:proofErr w:type="spellEnd"/>
      <w:r w:rsidRPr="00B14CCC">
        <w:rPr>
          <w:rFonts w:ascii="Times New Roman" w:eastAsia="Times New Roman" w:hAnsi="Times New Roman" w:cs="Times New Roman"/>
          <w:sz w:val="24"/>
          <w:szCs w:val="24"/>
        </w:rPr>
        <w:t xml:space="preserve"> as a promising antimalarial candidate, with subsequent phytochemical investigation resulting in the isolation of </w:t>
      </w:r>
      <w:proofErr w:type="spellStart"/>
      <w:r w:rsidRPr="00B14CCC">
        <w:rPr>
          <w:rFonts w:ascii="Times New Roman" w:eastAsia="Times New Roman" w:hAnsi="Times New Roman" w:cs="Times New Roman"/>
          <w:sz w:val="24"/>
          <w:szCs w:val="24"/>
        </w:rPr>
        <w:t>artemisinin</w:t>
      </w:r>
      <w:proofErr w:type="spellEnd"/>
      <w:r w:rsidRPr="00B14CCC">
        <w:rPr>
          <w:rFonts w:ascii="Times New Roman" w:eastAsia="Times New Roman" w:hAnsi="Times New Roman" w:cs="Times New Roman"/>
          <w:sz w:val="24"/>
          <w:szCs w:val="24"/>
        </w:rPr>
        <w:t xml:space="preserve"> in 1972.</w:t>
      </w:r>
    </w:p>
    <w:p w:rsidR="000216FD" w:rsidRPr="00B14CCC" w:rsidRDefault="000216FD"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sz w:val="24"/>
          <w:szCs w:val="24"/>
        </w:rPr>
        <w:t>Artemisinin</w:t>
      </w:r>
      <w:proofErr w:type="spellEnd"/>
      <w:r w:rsidRPr="00B14CCC">
        <w:rPr>
          <w:rFonts w:ascii="Times New Roman" w:eastAsia="Times New Roman" w:hAnsi="Times New Roman" w:cs="Times New Roman"/>
          <w:sz w:val="24"/>
          <w:szCs w:val="24"/>
        </w:rPr>
        <w:t xml:space="preserve"> is a </w:t>
      </w:r>
      <w:proofErr w:type="spellStart"/>
      <w:r w:rsidRPr="00B14CCC">
        <w:rPr>
          <w:rFonts w:ascii="Times New Roman" w:eastAsia="Times New Roman" w:hAnsi="Times New Roman" w:cs="Times New Roman"/>
          <w:sz w:val="24"/>
          <w:szCs w:val="24"/>
        </w:rPr>
        <w:t>sesquiterpene</w:t>
      </w:r>
      <w:proofErr w:type="spellEnd"/>
      <w:r w:rsidRPr="00B14CCC">
        <w:rPr>
          <w:rFonts w:ascii="Times New Roman" w:eastAsia="Times New Roman" w:hAnsi="Times New Roman" w:cs="Times New Roman"/>
          <w:sz w:val="24"/>
          <w:szCs w:val="24"/>
        </w:rPr>
        <w:t xml:space="preserve"> lactone containing an </w:t>
      </w:r>
      <w:proofErr w:type="spellStart"/>
      <w:r w:rsidRPr="00B14CCC">
        <w:rPr>
          <w:rFonts w:ascii="Times New Roman" w:eastAsia="Times New Roman" w:hAnsi="Times New Roman" w:cs="Times New Roman"/>
          <w:sz w:val="24"/>
          <w:szCs w:val="24"/>
        </w:rPr>
        <w:t>endoperoxide</w:t>
      </w:r>
      <w:proofErr w:type="spellEnd"/>
      <w:r w:rsidRPr="00B14CCC">
        <w:rPr>
          <w:rFonts w:ascii="Times New Roman" w:eastAsia="Times New Roman" w:hAnsi="Times New Roman" w:cs="Times New Roman"/>
          <w:sz w:val="24"/>
          <w:szCs w:val="24"/>
        </w:rPr>
        <w:t xml:space="preserve"> bridge that is essential for its antimalarial activity. Phytochemical studies have identified numerous other constituents in </w:t>
      </w:r>
      <w:r w:rsidRPr="00B14CCC">
        <w:rPr>
          <w:rFonts w:ascii="Times New Roman" w:eastAsia="Times New Roman" w:hAnsi="Times New Roman" w:cs="Times New Roman"/>
          <w:i/>
          <w:iCs/>
          <w:sz w:val="24"/>
          <w:szCs w:val="24"/>
        </w:rPr>
        <w:t xml:space="preserve">A. </w:t>
      </w:r>
      <w:proofErr w:type="spellStart"/>
      <w:r w:rsidRPr="00B14CCC">
        <w:rPr>
          <w:rFonts w:ascii="Times New Roman" w:eastAsia="Times New Roman" w:hAnsi="Times New Roman" w:cs="Times New Roman"/>
          <w:i/>
          <w:iCs/>
          <w:sz w:val="24"/>
          <w:szCs w:val="24"/>
        </w:rPr>
        <w:t>annua</w:t>
      </w:r>
      <w:proofErr w:type="spellEnd"/>
      <w:r w:rsidRPr="00B14CCC">
        <w:rPr>
          <w:rFonts w:ascii="Times New Roman" w:eastAsia="Times New Roman" w:hAnsi="Times New Roman" w:cs="Times New Roman"/>
          <w:sz w:val="24"/>
          <w:szCs w:val="24"/>
        </w:rPr>
        <w:t xml:space="preserve">, including various flavonoids (particularly </w:t>
      </w:r>
      <w:proofErr w:type="spellStart"/>
      <w:r w:rsidRPr="00B14CCC">
        <w:rPr>
          <w:rFonts w:ascii="Times New Roman" w:eastAsia="Times New Roman" w:hAnsi="Times New Roman" w:cs="Times New Roman"/>
          <w:sz w:val="24"/>
          <w:szCs w:val="24"/>
        </w:rPr>
        <w:t>artemisinin</w:t>
      </w:r>
      <w:proofErr w:type="spellEnd"/>
      <w:r w:rsidRPr="00B14CCC">
        <w:rPr>
          <w:rFonts w:ascii="Times New Roman" w:eastAsia="Times New Roman" w:hAnsi="Times New Roman" w:cs="Times New Roman"/>
          <w:sz w:val="24"/>
          <w:szCs w:val="24"/>
        </w:rPr>
        <w:t xml:space="preserve"> B, </w:t>
      </w:r>
      <w:proofErr w:type="spellStart"/>
      <w:r w:rsidRPr="00B14CCC">
        <w:rPr>
          <w:rFonts w:ascii="Times New Roman" w:eastAsia="Times New Roman" w:hAnsi="Times New Roman" w:cs="Times New Roman"/>
          <w:sz w:val="24"/>
          <w:szCs w:val="24"/>
        </w:rPr>
        <w:t>casticin</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chrysoplenetin</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chrysosplenol</w:t>
      </w:r>
      <w:proofErr w:type="spellEnd"/>
      <w:r w:rsidRPr="00B14CCC">
        <w:rPr>
          <w:rFonts w:ascii="Times New Roman" w:eastAsia="Times New Roman" w:hAnsi="Times New Roman" w:cs="Times New Roman"/>
          <w:sz w:val="24"/>
          <w:szCs w:val="24"/>
        </w:rPr>
        <w:t xml:space="preserve">-D, and </w:t>
      </w:r>
      <w:proofErr w:type="spellStart"/>
      <w:r w:rsidRPr="00B14CCC">
        <w:rPr>
          <w:rFonts w:ascii="Times New Roman" w:eastAsia="Times New Roman" w:hAnsi="Times New Roman" w:cs="Times New Roman"/>
          <w:sz w:val="24"/>
          <w:szCs w:val="24"/>
        </w:rPr>
        <w:t>artemetin</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coumarins</w:t>
      </w:r>
      <w:proofErr w:type="spellEnd"/>
      <w:r w:rsidRPr="00B14CCC">
        <w:rPr>
          <w:rFonts w:ascii="Times New Roman" w:eastAsia="Times New Roman" w:hAnsi="Times New Roman" w:cs="Times New Roman"/>
          <w:sz w:val="24"/>
          <w:szCs w:val="24"/>
        </w:rPr>
        <w:t xml:space="preserve">, phenolic acids, and essential oils (Ferreira et al., 2010). However, </w:t>
      </w:r>
      <w:proofErr w:type="spellStart"/>
      <w:r w:rsidRPr="00B14CCC">
        <w:rPr>
          <w:rFonts w:ascii="Times New Roman" w:eastAsia="Times New Roman" w:hAnsi="Times New Roman" w:cs="Times New Roman"/>
          <w:sz w:val="24"/>
          <w:szCs w:val="24"/>
        </w:rPr>
        <w:t>artemisinin</w:t>
      </w:r>
      <w:proofErr w:type="spellEnd"/>
      <w:r w:rsidRPr="00B14CCC">
        <w:rPr>
          <w:rFonts w:ascii="Times New Roman" w:eastAsia="Times New Roman" w:hAnsi="Times New Roman" w:cs="Times New Roman"/>
          <w:sz w:val="24"/>
          <w:szCs w:val="24"/>
        </w:rPr>
        <w:t xml:space="preserve"> remains the most pharmacologically significant compound, exhibiting rapid and potent activity against multiple stages of the </w:t>
      </w:r>
      <w:r w:rsidRPr="00B14CCC">
        <w:rPr>
          <w:rFonts w:ascii="Times New Roman" w:eastAsia="Times New Roman" w:hAnsi="Times New Roman" w:cs="Times New Roman"/>
          <w:i/>
          <w:iCs/>
          <w:sz w:val="24"/>
          <w:szCs w:val="24"/>
        </w:rPr>
        <w:t>Plasmodium</w:t>
      </w:r>
      <w:r w:rsidRPr="00B14CCC">
        <w:rPr>
          <w:rFonts w:ascii="Times New Roman" w:eastAsia="Times New Roman" w:hAnsi="Times New Roman" w:cs="Times New Roman"/>
          <w:sz w:val="24"/>
          <w:szCs w:val="24"/>
        </w:rPr>
        <w:t xml:space="preserve"> life cycle. The mechanism of action involves activation of the </w:t>
      </w:r>
      <w:proofErr w:type="spellStart"/>
      <w:proofErr w:type="gramStart"/>
      <w:r w:rsidRPr="00B14CCC">
        <w:rPr>
          <w:rFonts w:ascii="Times New Roman" w:eastAsia="Times New Roman" w:hAnsi="Times New Roman" w:cs="Times New Roman"/>
          <w:sz w:val="24"/>
          <w:szCs w:val="24"/>
        </w:rPr>
        <w:t>endoperoxide</w:t>
      </w:r>
      <w:proofErr w:type="spellEnd"/>
      <w:r w:rsidRPr="00B14CCC">
        <w:rPr>
          <w:rFonts w:ascii="Times New Roman" w:eastAsia="Times New Roman" w:hAnsi="Times New Roman" w:cs="Times New Roman"/>
          <w:sz w:val="24"/>
          <w:szCs w:val="24"/>
        </w:rPr>
        <w:t xml:space="preserve"> bridge</w:t>
      </w:r>
      <w:proofErr w:type="gramEnd"/>
      <w:r w:rsidRPr="00B14CCC">
        <w:rPr>
          <w:rFonts w:ascii="Times New Roman" w:eastAsia="Times New Roman" w:hAnsi="Times New Roman" w:cs="Times New Roman"/>
          <w:sz w:val="24"/>
          <w:szCs w:val="24"/>
        </w:rPr>
        <w:t xml:space="preserve"> by iron present in parasite-infected red blood cells, generating free radicals that alkylate and damage parasite proteins and membranes, leading to rapid parasite death.</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clinical development of </w:t>
      </w:r>
      <w:proofErr w:type="spellStart"/>
      <w:r w:rsidRPr="00B14CCC">
        <w:rPr>
          <w:rFonts w:ascii="Times New Roman" w:eastAsia="Times New Roman" w:hAnsi="Times New Roman" w:cs="Times New Roman"/>
          <w:sz w:val="24"/>
          <w:szCs w:val="24"/>
        </w:rPr>
        <w:t>artemisinin</w:t>
      </w:r>
      <w:proofErr w:type="spellEnd"/>
      <w:r w:rsidRPr="00B14CCC">
        <w:rPr>
          <w:rFonts w:ascii="Times New Roman" w:eastAsia="Times New Roman" w:hAnsi="Times New Roman" w:cs="Times New Roman"/>
          <w:sz w:val="24"/>
          <w:szCs w:val="24"/>
        </w:rPr>
        <w:t xml:space="preserve"> and its semi-synthetic derivatives (</w:t>
      </w:r>
      <w:proofErr w:type="spellStart"/>
      <w:r w:rsidRPr="00B14CCC">
        <w:rPr>
          <w:rFonts w:ascii="Times New Roman" w:eastAsia="Times New Roman" w:hAnsi="Times New Roman" w:cs="Times New Roman"/>
          <w:sz w:val="24"/>
          <w:szCs w:val="24"/>
        </w:rPr>
        <w:t>artesunate</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artemether</w:t>
      </w:r>
      <w:proofErr w:type="spellEnd"/>
      <w:r w:rsidRPr="00B14CCC">
        <w:rPr>
          <w:rFonts w:ascii="Times New Roman" w:eastAsia="Times New Roman" w:hAnsi="Times New Roman" w:cs="Times New Roman"/>
          <w:sz w:val="24"/>
          <w:szCs w:val="24"/>
        </w:rPr>
        <w:t xml:space="preserve">, and </w:t>
      </w:r>
      <w:proofErr w:type="spellStart"/>
      <w:r w:rsidRPr="00B14CCC">
        <w:rPr>
          <w:rFonts w:ascii="Times New Roman" w:eastAsia="Times New Roman" w:hAnsi="Times New Roman" w:cs="Times New Roman"/>
          <w:sz w:val="24"/>
          <w:szCs w:val="24"/>
        </w:rPr>
        <w:t>dihydroartemisinin</w:t>
      </w:r>
      <w:proofErr w:type="spellEnd"/>
      <w:r w:rsidRPr="00B14CCC">
        <w:rPr>
          <w:rFonts w:ascii="Times New Roman" w:eastAsia="Times New Roman" w:hAnsi="Times New Roman" w:cs="Times New Roman"/>
          <w:sz w:val="24"/>
          <w:szCs w:val="24"/>
        </w:rPr>
        <w:t xml:space="preserve">) has revolutionized malaria treatment, particularly for severe and drug-resistant cases. </w:t>
      </w:r>
      <w:proofErr w:type="spellStart"/>
      <w:r w:rsidRPr="00B14CCC">
        <w:rPr>
          <w:rFonts w:ascii="Times New Roman" w:eastAsia="Times New Roman" w:hAnsi="Times New Roman" w:cs="Times New Roman"/>
          <w:sz w:val="24"/>
          <w:szCs w:val="24"/>
        </w:rPr>
        <w:t>Artemisinin</w:t>
      </w:r>
      <w:proofErr w:type="spellEnd"/>
      <w:r w:rsidRPr="00B14CCC">
        <w:rPr>
          <w:rFonts w:ascii="Times New Roman" w:eastAsia="Times New Roman" w:hAnsi="Times New Roman" w:cs="Times New Roman"/>
          <w:sz w:val="24"/>
          <w:szCs w:val="24"/>
        </w:rPr>
        <w:t xml:space="preserve">-based combination therapies (ACTs) are now the World Health Organization's recommended first-line treatment for uncomplicated </w:t>
      </w:r>
      <w:r w:rsidRPr="00B14CCC">
        <w:rPr>
          <w:rFonts w:ascii="Times New Roman" w:eastAsia="Times New Roman" w:hAnsi="Times New Roman" w:cs="Times New Roman"/>
          <w:i/>
          <w:iCs/>
          <w:sz w:val="24"/>
          <w:szCs w:val="24"/>
        </w:rPr>
        <w:t>P. falciparum</w:t>
      </w:r>
      <w:r w:rsidRPr="00B14CCC">
        <w:rPr>
          <w:rFonts w:ascii="Times New Roman" w:eastAsia="Times New Roman" w:hAnsi="Times New Roman" w:cs="Times New Roman"/>
          <w:sz w:val="24"/>
          <w:szCs w:val="24"/>
        </w:rPr>
        <w:t xml:space="preserve"> malaria and have contributed significantly to the dramatic reduction in global malaria mortality observed since 2000 (WHO, 2021). This success story demonstrates the potential of </w:t>
      </w:r>
      <w:proofErr w:type="spellStart"/>
      <w:r w:rsidRPr="00B14CCC">
        <w:rPr>
          <w:rFonts w:ascii="Times New Roman" w:eastAsia="Times New Roman" w:hAnsi="Times New Roman" w:cs="Times New Roman"/>
          <w:sz w:val="24"/>
          <w:szCs w:val="24"/>
        </w:rPr>
        <w:t>ethnopharmacological</w:t>
      </w:r>
      <w:proofErr w:type="spellEnd"/>
      <w:r w:rsidRPr="00B14CCC">
        <w:rPr>
          <w:rFonts w:ascii="Times New Roman" w:eastAsia="Times New Roman" w:hAnsi="Times New Roman" w:cs="Times New Roman"/>
          <w:sz w:val="24"/>
          <w:szCs w:val="24"/>
        </w:rPr>
        <w:t xml:space="preserve"> research to yield therapeutic breakthroughs with profound global health impacts. Interestingly, recent research has revealed that </w:t>
      </w:r>
      <w:proofErr w:type="spellStart"/>
      <w:r w:rsidRPr="00B14CCC">
        <w:rPr>
          <w:rFonts w:ascii="Times New Roman" w:eastAsia="Times New Roman" w:hAnsi="Times New Roman" w:cs="Times New Roman"/>
          <w:sz w:val="24"/>
          <w:szCs w:val="24"/>
        </w:rPr>
        <w:t>artemisinin</w:t>
      </w:r>
      <w:proofErr w:type="spellEnd"/>
      <w:r w:rsidRPr="00B14CCC">
        <w:rPr>
          <w:rFonts w:ascii="Times New Roman" w:eastAsia="Times New Roman" w:hAnsi="Times New Roman" w:cs="Times New Roman"/>
          <w:sz w:val="24"/>
          <w:szCs w:val="24"/>
        </w:rPr>
        <w:t xml:space="preserve"> and its derivatives exhibit activity beyond malaria, including anticancer, antiviral, and </w:t>
      </w:r>
      <w:proofErr w:type="spellStart"/>
      <w:r w:rsidRPr="00B14CCC">
        <w:rPr>
          <w:rFonts w:ascii="Times New Roman" w:eastAsia="Times New Roman" w:hAnsi="Times New Roman" w:cs="Times New Roman"/>
          <w:sz w:val="24"/>
          <w:szCs w:val="24"/>
        </w:rPr>
        <w:t>immunomodulatory</w:t>
      </w:r>
      <w:proofErr w:type="spellEnd"/>
      <w:r w:rsidRPr="00B14CCC">
        <w:rPr>
          <w:rFonts w:ascii="Times New Roman" w:eastAsia="Times New Roman" w:hAnsi="Times New Roman" w:cs="Times New Roman"/>
          <w:sz w:val="24"/>
          <w:szCs w:val="24"/>
        </w:rPr>
        <w:t xml:space="preserve"> properties, suggesting potential applications in treating other diseases.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 xml:space="preserve">The cultivation of </w:t>
      </w:r>
      <w:r w:rsidRPr="00B14CCC">
        <w:rPr>
          <w:rFonts w:ascii="Times New Roman" w:eastAsia="Times New Roman" w:hAnsi="Times New Roman" w:cs="Times New Roman"/>
          <w:i/>
          <w:iCs/>
          <w:sz w:val="24"/>
          <w:szCs w:val="24"/>
        </w:rPr>
        <w:t xml:space="preserve">A. </w:t>
      </w:r>
      <w:proofErr w:type="spellStart"/>
      <w:r w:rsidRPr="00B14CCC">
        <w:rPr>
          <w:rFonts w:ascii="Times New Roman" w:eastAsia="Times New Roman" w:hAnsi="Times New Roman" w:cs="Times New Roman"/>
          <w:i/>
          <w:iCs/>
          <w:sz w:val="24"/>
          <w:szCs w:val="24"/>
        </w:rPr>
        <w:t>annua</w:t>
      </w:r>
      <w:proofErr w:type="spellEnd"/>
      <w:r w:rsidRPr="00B14CCC">
        <w:rPr>
          <w:rFonts w:ascii="Times New Roman" w:eastAsia="Times New Roman" w:hAnsi="Times New Roman" w:cs="Times New Roman"/>
          <w:sz w:val="24"/>
          <w:szCs w:val="24"/>
        </w:rPr>
        <w:t xml:space="preserve"> for </w:t>
      </w:r>
      <w:proofErr w:type="spellStart"/>
      <w:r w:rsidRPr="00B14CCC">
        <w:rPr>
          <w:rFonts w:ascii="Times New Roman" w:eastAsia="Times New Roman" w:hAnsi="Times New Roman" w:cs="Times New Roman"/>
          <w:sz w:val="24"/>
          <w:szCs w:val="24"/>
        </w:rPr>
        <w:t>artemisinin</w:t>
      </w:r>
      <w:proofErr w:type="spellEnd"/>
      <w:r w:rsidRPr="00B14CCC">
        <w:rPr>
          <w:rFonts w:ascii="Times New Roman" w:eastAsia="Times New Roman" w:hAnsi="Times New Roman" w:cs="Times New Roman"/>
          <w:sz w:val="24"/>
          <w:szCs w:val="24"/>
        </w:rPr>
        <w:t xml:space="preserve"> production has become a significant agricultural enterprise, particularly in China, Vietnam, and East Africa. However, </w:t>
      </w:r>
      <w:proofErr w:type="spellStart"/>
      <w:r w:rsidRPr="00B14CCC">
        <w:rPr>
          <w:rFonts w:ascii="Times New Roman" w:eastAsia="Times New Roman" w:hAnsi="Times New Roman" w:cs="Times New Roman"/>
          <w:sz w:val="24"/>
          <w:szCs w:val="24"/>
        </w:rPr>
        <w:t>artemisinin</w:t>
      </w:r>
      <w:proofErr w:type="spellEnd"/>
      <w:r w:rsidRPr="00B14CCC">
        <w:rPr>
          <w:rFonts w:ascii="Times New Roman" w:eastAsia="Times New Roman" w:hAnsi="Times New Roman" w:cs="Times New Roman"/>
          <w:sz w:val="24"/>
          <w:szCs w:val="24"/>
        </w:rPr>
        <w:t xml:space="preserve"> content in plants varies substantially depending on cultivar, growing conditions, and harvest timing, necessitating careful agricultural practices and quality control measures (Ferreira &amp; </w:t>
      </w:r>
      <w:proofErr w:type="spellStart"/>
      <w:r w:rsidRPr="00B14CCC">
        <w:rPr>
          <w:rFonts w:ascii="Times New Roman" w:eastAsia="Times New Roman" w:hAnsi="Times New Roman" w:cs="Times New Roman"/>
          <w:sz w:val="24"/>
          <w:szCs w:val="24"/>
        </w:rPr>
        <w:t>Janick</w:t>
      </w:r>
      <w:proofErr w:type="spellEnd"/>
      <w:r w:rsidRPr="00B14CCC">
        <w:rPr>
          <w:rFonts w:ascii="Times New Roman" w:eastAsia="Times New Roman" w:hAnsi="Times New Roman" w:cs="Times New Roman"/>
          <w:sz w:val="24"/>
          <w:szCs w:val="24"/>
        </w:rPr>
        <w:t xml:space="preserve">, 2009). Recent biotechnological advances have enabled </w:t>
      </w:r>
      <w:proofErr w:type="spellStart"/>
      <w:r w:rsidRPr="00B14CCC">
        <w:rPr>
          <w:rFonts w:ascii="Times New Roman" w:eastAsia="Times New Roman" w:hAnsi="Times New Roman" w:cs="Times New Roman"/>
          <w:sz w:val="24"/>
          <w:szCs w:val="24"/>
        </w:rPr>
        <w:t>artemisinin</w:t>
      </w:r>
      <w:proofErr w:type="spellEnd"/>
      <w:r w:rsidRPr="00B14CCC">
        <w:rPr>
          <w:rFonts w:ascii="Times New Roman" w:eastAsia="Times New Roman" w:hAnsi="Times New Roman" w:cs="Times New Roman"/>
          <w:sz w:val="24"/>
          <w:szCs w:val="24"/>
        </w:rPr>
        <w:t xml:space="preserve"> production through engineered yeast strains, providing an alternative supply source that reduces dependence on agricultural production and potentially lowering costs. Nevertheless, whole-plant </w:t>
      </w:r>
      <w:r w:rsidRPr="00B14CCC">
        <w:rPr>
          <w:rFonts w:ascii="Times New Roman" w:eastAsia="Times New Roman" w:hAnsi="Times New Roman" w:cs="Times New Roman"/>
          <w:i/>
          <w:iCs/>
          <w:sz w:val="24"/>
          <w:szCs w:val="24"/>
        </w:rPr>
        <w:t xml:space="preserve">A. </w:t>
      </w:r>
      <w:proofErr w:type="spellStart"/>
      <w:r w:rsidRPr="00B14CCC">
        <w:rPr>
          <w:rFonts w:ascii="Times New Roman" w:eastAsia="Times New Roman" w:hAnsi="Times New Roman" w:cs="Times New Roman"/>
          <w:i/>
          <w:iCs/>
          <w:sz w:val="24"/>
          <w:szCs w:val="24"/>
        </w:rPr>
        <w:t>annua</w:t>
      </w:r>
      <w:proofErr w:type="spellEnd"/>
      <w:r w:rsidRPr="00B14CCC">
        <w:rPr>
          <w:rFonts w:ascii="Times New Roman" w:eastAsia="Times New Roman" w:hAnsi="Times New Roman" w:cs="Times New Roman"/>
          <w:sz w:val="24"/>
          <w:szCs w:val="24"/>
        </w:rPr>
        <w:t xml:space="preserve"> preparations continue to be studied for potential advantages over purified </w:t>
      </w:r>
      <w:proofErr w:type="spellStart"/>
      <w:r w:rsidRPr="00B14CCC">
        <w:rPr>
          <w:rFonts w:ascii="Times New Roman" w:eastAsia="Times New Roman" w:hAnsi="Times New Roman" w:cs="Times New Roman"/>
          <w:sz w:val="24"/>
          <w:szCs w:val="24"/>
        </w:rPr>
        <w:t>artemisinin</w:t>
      </w:r>
      <w:proofErr w:type="spellEnd"/>
      <w:r w:rsidRPr="00B14CCC">
        <w:rPr>
          <w:rFonts w:ascii="Times New Roman" w:eastAsia="Times New Roman" w:hAnsi="Times New Roman" w:cs="Times New Roman"/>
          <w:sz w:val="24"/>
          <w:szCs w:val="24"/>
        </w:rPr>
        <w:t>, with some research suggesting enhanced antimalarial activity attributed to synergistic effects of multiple plant constituents.</w:t>
      </w:r>
    </w:p>
    <w:p w:rsidR="000216FD" w:rsidRPr="00B14CCC" w:rsidRDefault="000216FD"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 xml:space="preserve">5.3 </w:t>
      </w:r>
      <w:proofErr w:type="spellStart"/>
      <w:r w:rsidRPr="00B14CCC">
        <w:rPr>
          <w:rFonts w:ascii="Times New Roman" w:eastAsia="Times New Roman" w:hAnsi="Times New Roman" w:cs="Times New Roman"/>
          <w:b/>
          <w:bCs/>
          <w:i/>
          <w:iCs/>
          <w:sz w:val="24"/>
          <w:szCs w:val="24"/>
        </w:rPr>
        <w:t>Azadirachta</w:t>
      </w:r>
      <w:proofErr w:type="spellEnd"/>
      <w:r w:rsidRPr="00B14CCC">
        <w:rPr>
          <w:rFonts w:ascii="Times New Roman" w:eastAsia="Times New Roman" w:hAnsi="Times New Roman" w:cs="Times New Roman"/>
          <w:b/>
          <w:bCs/>
          <w:i/>
          <w:iCs/>
          <w:sz w:val="24"/>
          <w:szCs w:val="24"/>
        </w:rPr>
        <w:t xml:space="preserve"> </w:t>
      </w:r>
      <w:proofErr w:type="spellStart"/>
      <w:r w:rsidRPr="00B14CCC">
        <w:rPr>
          <w:rFonts w:ascii="Times New Roman" w:eastAsia="Times New Roman" w:hAnsi="Times New Roman" w:cs="Times New Roman"/>
          <w:b/>
          <w:bCs/>
          <w:i/>
          <w:iCs/>
          <w:sz w:val="24"/>
          <w:szCs w:val="24"/>
        </w:rPr>
        <w:t>indica</w:t>
      </w:r>
      <w:proofErr w:type="spellEnd"/>
      <w:r w:rsidRPr="00B14CCC">
        <w:rPr>
          <w:rFonts w:ascii="Times New Roman" w:eastAsia="Times New Roman" w:hAnsi="Times New Roman" w:cs="Times New Roman"/>
          <w:b/>
          <w:bCs/>
          <w:sz w:val="24"/>
          <w:szCs w:val="24"/>
        </w:rPr>
        <w:t xml:space="preserve"> (</w:t>
      </w:r>
      <w:proofErr w:type="spellStart"/>
      <w:r w:rsidRPr="00B14CCC">
        <w:rPr>
          <w:rFonts w:ascii="Times New Roman" w:eastAsia="Times New Roman" w:hAnsi="Times New Roman" w:cs="Times New Roman"/>
          <w:b/>
          <w:bCs/>
          <w:sz w:val="24"/>
          <w:szCs w:val="24"/>
        </w:rPr>
        <w:t>Neem</w:t>
      </w:r>
      <w:proofErr w:type="spellEnd"/>
      <w:r w:rsidRPr="00B14CCC">
        <w:rPr>
          <w:rFonts w:ascii="Times New Roman" w:eastAsia="Times New Roman" w:hAnsi="Times New Roman" w:cs="Times New Roman"/>
          <w:b/>
          <w:bCs/>
          <w:sz w:val="24"/>
          <w:szCs w:val="24"/>
        </w:rPr>
        <w:t>)</w:t>
      </w:r>
    </w:p>
    <w:p w:rsidR="000216FD" w:rsidRPr="00B14CCC" w:rsidRDefault="000216FD"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i/>
          <w:iCs/>
          <w:sz w:val="24"/>
          <w:szCs w:val="24"/>
        </w:rPr>
        <w:t>Azadirachta</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indica</w:t>
      </w:r>
      <w:proofErr w:type="spellEnd"/>
      <w:r w:rsidRPr="00B14CCC">
        <w:rPr>
          <w:rFonts w:ascii="Times New Roman" w:eastAsia="Times New Roman" w:hAnsi="Times New Roman" w:cs="Times New Roman"/>
          <w:sz w:val="24"/>
          <w:szCs w:val="24"/>
        </w:rPr>
        <w:t xml:space="preserve">, commonly known as </w:t>
      </w:r>
      <w:proofErr w:type="spellStart"/>
      <w:r w:rsidRPr="00B14CCC">
        <w:rPr>
          <w:rFonts w:ascii="Times New Roman" w:eastAsia="Times New Roman" w:hAnsi="Times New Roman" w:cs="Times New Roman"/>
          <w:sz w:val="24"/>
          <w:szCs w:val="24"/>
        </w:rPr>
        <w:t>neem</w:t>
      </w:r>
      <w:proofErr w:type="spellEnd"/>
      <w:r w:rsidRPr="00B14CCC">
        <w:rPr>
          <w:rFonts w:ascii="Times New Roman" w:eastAsia="Times New Roman" w:hAnsi="Times New Roman" w:cs="Times New Roman"/>
          <w:sz w:val="24"/>
          <w:szCs w:val="24"/>
        </w:rPr>
        <w:t>, holds exceptional significance in traditional Indian medicine, with Sanskrit texts referring to it as "</w:t>
      </w:r>
      <w:proofErr w:type="spellStart"/>
      <w:r w:rsidRPr="00B14CCC">
        <w:rPr>
          <w:rFonts w:ascii="Times New Roman" w:eastAsia="Times New Roman" w:hAnsi="Times New Roman" w:cs="Times New Roman"/>
          <w:sz w:val="24"/>
          <w:szCs w:val="24"/>
        </w:rPr>
        <w:t>Sarva</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Roga</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Nivarini</w:t>
      </w:r>
      <w:proofErr w:type="spellEnd"/>
      <w:r w:rsidRPr="00B14CCC">
        <w:rPr>
          <w:rFonts w:ascii="Times New Roman" w:eastAsia="Times New Roman" w:hAnsi="Times New Roman" w:cs="Times New Roman"/>
          <w:sz w:val="24"/>
          <w:szCs w:val="24"/>
        </w:rPr>
        <w:t>" (the curer of all ailments) and "</w:t>
      </w:r>
      <w:proofErr w:type="spellStart"/>
      <w:r w:rsidRPr="00B14CCC">
        <w:rPr>
          <w:rFonts w:ascii="Times New Roman" w:eastAsia="Times New Roman" w:hAnsi="Times New Roman" w:cs="Times New Roman"/>
          <w:sz w:val="24"/>
          <w:szCs w:val="24"/>
        </w:rPr>
        <w:t>Arishtha</w:t>
      </w:r>
      <w:proofErr w:type="spellEnd"/>
      <w:r w:rsidRPr="00B14CCC">
        <w:rPr>
          <w:rFonts w:ascii="Times New Roman" w:eastAsia="Times New Roman" w:hAnsi="Times New Roman" w:cs="Times New Roman"/>
          <w:sz w:val="24"/>
          <w:szCs w:val="24"/>
        </w:rPr>
        <w:t xml:space="preserve">" (reliever of sickness). Indigenous populations throughout the Indian subcontinent have utilized virtually every part of the </w:t>
      </w:r>
      <w:proofErr w:type="spellStart"/>
      <w:r w:rsidRPr="00B14CCC">
        <w:rPr>
          <w:rFonts w:ascii="Times New Roman" w:eastAsia="Times New Roman" w:hAnsi="Times New Roman" w:cs="Times New Roman"/>
          <w:sz w:val="24"/>
          <w:szCs w:val="24"/>
        </w:rPr>
        <w:t>neem</w:t>
      </w:r>
      <w:proofErr w:type="spellEnd"/>
      <w:r w:rsidRPr="00B14CCC">
        <w:rPr>
          <w:rFonts w:ascii="Times New Roman" w:eastAsia="Times New Roman" w:hAnsi="Times New Roman" w:cs="Times New Roman"/>
          <w:sz w:val="24"/>
          <w:szCs w:val="24"/>
        </w:rPr>
        <w:t xml:space="preserve"> tree—leaves, bark, flowers, fruits, seeds, and roots—for treating numerous conditions including skin disorders, digestive problems, infections, and as an insecticide and pesticide (</w:t>
      </w:r>
      <w:proofErr w:type="spellStart"/>
      <w:r w:rsidRPr="00B14CCC">
        <w:rPr>
          <w:rFonts w:ascii="Times New Roman" w:eastAsia="Times New Roman" w:hAnsi="Times New Roman" w:cs="Times New Roman"/>
          <w:sz w:val="24"/>
          <w:szCs w:val="24"/>
        </w:rPr>
        <w:t>Biswas</w:t>
      </w:r>
      <w:proofErr w:type="spellEnd"/>
      <w:r w:rsidRPr="00B14CCC">
        <w:rPr>
          <w:rFonts w:ascii="Times New Roman" w:eastAsia="Times New Roman" w:hAnsi="Times New Roman" w:cs="Times New Roman"/>
          <w:sz w:val="24"/>
          <w:szCs w:val="24"/>
        </w:rPr>
        <w:t xml:space="preserve"> et al., 2002). Contemporary scientific investigation has validated many of these traditional applications while identifying the specific phytochemical constituents responsible for </w:t>
      </w:r>
      <w:proofErr w:type="spellStart"/>
      <w:r w:rsidRPr="00B14CCC">
        <w:rPr>
          <w:rFonts w:ascii="Times New Roman" w:eastAsia="Times New Roman" w:hAnsi="Times New Roman" w:cs="Times New Roman"/>
          <w:sz w:val="24"/>
          <w:szCs w:val="24"/>
        </w:rPr>
        <w:t>neem's</w:t>
      </w:r>
      <w:proofErr w:type="spellEnd"/>
      <w:r w:rsidRPr="00B14CCC">
        <w:rPr>
          <w:rFonts w:ascii="Times New Roman" w:eastAsia="Times New Roman" w:hAnsi="Times New Roman" w:cs="Times New Roman"/>
          <w:sz w:val="24"/>
          <w:szCs w:val="24"/>
        </w:rPr>
        <w:t xml:space="preserve"> diverse biological activities.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Comprehensive phytochemical analysis of </w:t>
      </w:r>
      <w:r w:rsidRPr="00B14CCC">
        <w:rPr>
          <w:rFonts w:ascii="Times New Roman" w:eastAsia="Times New Roman" w:hAnsi="Times New Roman" w:cs="Times New Roman"/>
          <w:i/>
          <w:iCs/>
          <w:sz w:val="24"/>
          <w:szCs w:val="24"/>
        </w:rPr>
        <w:t xml:space="preserve">A. </w:t>
      </w:r>
      <w:proofErr w:type="spellStart"/>
      <w:r w:rsidRPr="00B14CCC">
        <w:rPr>
          <w:rFonts w:ascii="Times New Roman" w:eastAsia="Times New Roman" w:hAnsi="Times New Roman" w:cs="Times New Roman"/>
          <w:i/>
          <w:iCs/>
          <w:sz w:val="24"/>
          <w:szCs w:val="24"/>
        </w:rPr>
        <w:t>indica</w:t>
      </w:r>
      <w:proofErr w:type="spellEnd"/>
      <w:r w:rsidRPr="00B14CCC">
        <w:rPr>
          <w:rFonts w:ascii="Times New Roman" w:eastAsia="Times New Roman" w:hAnsi="Times New Roman" w:cs="Times New Roman"/>
          <w:sz w:val="24"/>
          <w:szCs w:val="24"/>
        </w:rPr>
        <w:t xml:space="preserve"> has revealed over 140 bioactive compounds, predominantly </w:t>
      </w:r>
      <w:proofErr w:type="spellStart"/>
      <w:r w:rsidRPr="00B14CCC">
        <w:rPr>
          <w:rFonts w:ascii="Times New Roman" w:eastAsia="Times New Roman" w:hAnsi="Times New Roman" w:cs="Times New Roman"/>
          <w:sz w:val="24"/>
          <w:szCs w:val="24"/>
        </w:rPr>
        <w:t>limonoids</w:t>
      </w:r>
      <w:proofErr w:type="spellEnd"/>
      <w:r w:rsidRPr="00B14CCC">
        <w:rPr>
          <w:rFonts w:ascii="Times New Roman" w:eastAsia="Times New Roman" w:hAnsi="Times New Roman" w:cs="Times New Roman"/>
          <w:sz w:val="24"/>
          <w:szCs w:val="24"/>
        </w:rPr>
        <w:t xml:space="preserve">, with </w:t>
      </w:r>
      <w:proofErr w:type="spellStart"/>
      <w:r w:rsidRPr="00B14CCC">
        <w:rPr>
          <w:rFonts w:ascii="Times New Roman" w:eastAsia="Times New Roman" w:hAnsi="Times New Roman" w:cs="Times New Roman"/>
          <w:sz w:val="24"/>
          <w:szCs w:val="24"/>
        </w:rPr>
        <w:t>azadirachtin</w:t>
      </w:r>
      <w:proofErr w:type="spellEnd"/>
      <w:r w:rsidRPr="00B14CCC">
        <w:rPr>
          <w:rFonts w:ascii="Times New Roman" w:eastAsia="Times New Roman" w:hAnsi="Times New Roman" w:cs="Times New Roman"/>
          <w:sz w:val="24"/>
          <w:szCs w:val="24"/>
        </w:rPr>
        <w:t xml:space="preserve"> being the most extensively characterized (</w:t>
      </w:r>
      <w:proofErr w:type="spellStart"/>
      <w:r w:rsidRPr="00B14CCC">
        <w:rPr>
          <w:rFonts w:ascii="Times New Roman" w:eastAsia="Times New Roman" w:hAnsi="Times New Roman" w:cs="Times New Roman"/>
          <w:sz w:val="24"/>
          <w:szCs w:val="24"/>
        </w:rPr>
        <w:t>Brahmachari</w:t>
      </w:r>
      <w:proofErr w:type="spellEnd"/>
      <w:r w:rsidRPr="00B14CCC">
        <w:rPr>
          <w:rFonts w:ascii="Times New Roman" w:eastAsia="Times New Roman" w:hAnsi="Times New Roman" w:cs="Times New Roman"/>
          <w:sz w:val="24"/>
          <w:szCs w:val="24"/>
        </w:rPr>
        <w:t xml:space="preserve">, 2004). Other significant constituents include </w:t>
      </w:r>
      <w:proofErr w:type="spellStart"/>
      <w:r w:rsidRPr="00B14CCC">
        <w:rPr>
          <w:rFonts w:ascii="Times New Roman" w:eastAsia="Times New Roman" w:hAnsi="Times New Roman" w:cs="Times New Roman"/>
          <w:sz w:val="24"/>
          <w:szCs w:val="24"/>
        </w:rPr>
        <w:t>nimbin</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nimbidin</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nimbidol</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nimbinen</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quercetin</w:t>
      </w:r>
      <w:proofErr w:type="spellEnd"/>
      <w:r w:rsidRPr="00B14CCC">
        <w:rPr>
          <w:rFonts w:ascii="Times New Roman" w:eastAsia="Times New Roman" w:hAnsi="Times New Roman" w:cs="Times New Roman"/>
          <w:sz w:val="24"/>
          <w:szCs w:val="24"/>
        </w:rPr>
        <w:t>, and β-</w:t>
      </w:r>
      <w:proofErr w:type="spellStart"/>
      <w:r w:rsidRPr="00B14CCC">
        <w:rPr>
          <w:rFonts w:ascii="Times New Roman" w:eastAsia="Times New Roman" w:hAnsi="Times New Roman" w:cs="Times New Roman"/>
          <w:sz w:val="24"/>
          <w:szCs w:val="24"/>
        </w:rPr>
        <w:t>sitosterol</w:t>
      </w:r>
      <w:proofErr w:type="spellEnd"/>
      <w:r w:rsidRPr="00B14CCC">
        <w:rPr>
          <w:rFonts w:ascii="Times New Roman" w:eastAsia="Times New Roman" w:hAnsi="Times New Roman" w:cs="Times New Roman"/>
          <w:sz w:val="24"/>
          <w:szCs w:val="24"/>
        </w:rPr>
        <w:t xml:space="preserve">, among others. These compounds exhibit diverse structural features and biological activities, contributing to </w:t>
      </w:r>
      <w:proofErr w:type="spellStart"/>
      <w:r w:rsidRPr="00B14CCC">
        <w:rPr>
          <w:rFonts w:ascii="Times New Roman" w:eastAsia="Times New Roman" w:hAnsi="Times New Roman" w:cs="Times New Roman"/>
          <w:sz w:val="24"/>
          <w:szCs w:val="24"/>
        </w:rPr>
        <w:t>neem's</w:t>
      </w:r>
      <w:proofErr w:type="spellEnd"/>
      <w:r w:rsidRPr="00B14CCC">
        <w:rPr>
          <w:rFonts w:ascii="Times New Roman" w:eastAsia="Times New Roman" w:hAnsi="Times New Roman" w:cs="Times New Roman"/>
          <w:sz w:val="24"/>
          <w:szCs w:val="24"/>
        </w:rPr>
        <w:t xml:space="preserve"> multifaceted therapeutic properties. </w:t>
      </w:r>
      <w:proofErr w:type="spellStart"/>
      <w:r w:rsidRPr="00B14CCC">
        <w:rPr>
          <w:rFonts w:ascii="Times New Roman" w:eastAsia="Times New Roman" w:hAnsi="Times New Roman" w:cs="Times New Roman"/>
          <w:sz w:val="24"/>
          <w:szCs w:val="24"/>
        </w:rPr>
        <w:t>Azadirachtin</w:t>
      </w:r>
      <w:proofErr w:type="spellEnd"/>
      <w:r w:rsidRPr="00B14CCC">
        <w:rPr>
          <w:rFonts w:ascii="Times New Roman" w:eastAsia="Times New Roman" w:hAnsi="Times New Roman" w:cs="Times New Roman"/>
          <w:sz w:val="24"/>
          <w:szCs w:val="24"/>
        </w:rPr>
        <w:t xml:space="preserve">, a complex </w:t>
      </w:r>
      <w:proofErr w:type="spellStart"/>
      <w:r w:rsidRPr="00B14CCC">
        <w:rPr>
          <w:rFonts w:ascii="Times New Roman" w:eastAsia="Times New Roman" w:hAnsi="Times New Roman" w:cs="Times New Roman"/>
          <w:sz w:val="24"/>
          <w:szCs w:val="24"/>
        </w:rPr>
        <w:t>tetranortriterpenoid</w:t>
      </w:r>
      <w:proofErr w:type="spellEnd"/>
      <w:r w:rsidRPr="00B14CCC">
        <w:rPr>
          <w:rFonts w:ascii="Times New Roman" w:eastAsia="Times New Roman" w:hAnsi="Times New Roman" w:cs="Times New Roman"/>
          <w:sz w:val="24"/>
          <w:szCs w:val="24"/>
        </w:rPr>
        <w:t xml:space="preserve">, is primarily concentrated in seeds and exhibits potent insecticidal and pest-repellent properties, validating traditional use of </w:t>
      </w:r>
      <w:proofErr w:type="spellStart"/>
      <w:r w:rsidRPr="00B14CCC">
        <w:rPr>
          <w:rFonts w:ascii="Times New Roman" w:eastAsia="Times New Roman" w:hAnsi="Times New Roman" w:cs="Times New Roman"/>
          <w:sz w:val="24"/>
          <w:szCs w:val="24"/>
        </w:rPr>
        <w:t>neem</w:t>
      </w:r>
      <w:proofErr w:type="spellEnd"/>
      <w:r w:rsidRPr="00B14CCC">
        <w:rPr>
          <w:rFonts w:ascii="Times New Roman" w:eastAsia="Times New Roman" w:hAnsi="Times New Roman" w:cs="Times New Roman"/>
          <w:sz w:val="24"/>
          <w:szCs w:val="24"/>
        </w:rPr>
        <w:t xml:space="preserve"> oil as a </w:t>
      </w:r>
      <w:proofErr w:type="spellStart"/>
      <w:r w:rsidRPr="00B14CCC">
        <w:rPr>
          <w:rFonts w:ascii="Times New Roman" w:eastAsia="Times New Roman" w:hAnsi="Times New Roman" w:cs="Times New Roman"/>
          <w:sz w:val="24"/>
          <w:szCs w:val="24"/>
        </w:rPr>
        <w:t>biopesticide</w:t>
      </w:r>
      <w:proofErr w:type="spellEnd"/>
      <w:r w:rsidRPr="00B14CCC">
        <w:rPr>
          <w:rFonts w:ascii="Times New Roman" w:eastAsia="Times New Roman" w:hAnsi="Times New Roman" w:cs="Times New Roman"/>
          <w:sz w:val="24"/>
          <w:szCs w:val="24"/>
        </w:rPr>
        <w:t>. The compound disrupts insect growth and development by mimicking insect hormones, providing an environmentally friendly alternative to synthetic pesticides.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antimicrobial properties of </w:t>
      </w:r>
      <w:proofErr w:type="spellStart"/>
      <w:r w:rsidRPr="00B14CCC">
        <w:rPr>
          <w:rFonts w:ascii="Times New Roman" w:eastAsia="Times New Roman" w:hAnsi="Times New Roman" w:cs="Times New Roman"/>
          <w:sz w:val="24"/>
          <w:szCs w:val="24"/>
        </w:rPr>
        <w:t>neem</w:t>
      </w:r>
      <w:proofErr w:type="spellEnd"/>
      <w:r w:rsidRPr="00B14CCC">
        <w:rPr>
          <w:rFonts w:ascii="Times New Roman" w:eastAsia="Times New Roman" w:hAnsi="Times New Roman" w:cs="Times New Roman"/>
          <w:sz w:val="24"/>
          <w:szCs w:val="24"/>
        </w:rPr>
        <w:t xml:space="preserve"> have been extensively documented through in vitro and in vivo studies, demonstrating activity against various bacterial, fungal, and viral pathogens. </w:t>
      </w:r>
      <w:proofErr w:type="spellStart"/>
      <w:r w:rsidRPr="00B14CCC">
        <w:rPr>
          <w:rFonts w:ascii="Times New Roman" w:eastAsia="Times New Roman" w:hAnsi="Times New Roman" w:cs="Times New Roman"/>
          <w:sz w:val="24"/>
          <w:szCs w:val="24"/>
        </w:rPr>
        <w:t>Neem</w:t>
      </w:r>
      <w:proofErr w:type="spellEnd"/>
      <w:r w:rsidRPr="00B14CCC">
        <w:rPr>
          <w:rFonts w:ascii="Times New Roman" w:eastAsia="Times New Roman" w:hAnsi="Times New Roman" w:cs="Times New Roman"/>
          <w:sz w:val="24"/>
          <w:szCs w:val="24"/>
        </w:rPr>
        <w:t xml:space="preserve"> leaf extracts exhibit antibacterial activity against both Gram-positive and Gram-negative bacteria, including several antibiotic-resistant strains, supporting traditional use for treating infections and wound healing (</w:t>
      </w:r>
      <w:proofErr w:type="spellStart"/>
      <w:r w:rsidRPr="00B14CCC">
        <w:rPr>
          <w:rFonts w:ascii="Times New Roman" w:eastAsia="Times New Roman" w:hAnsi="Times New Roman" w:cs="Times New Roman"/>
          <w:sz w:val="24"/>
          <w:szCs w:val="24"/>
        </w:rPr>
        <w:t>Alzohairy</w:t>
      </w:r>
      <w:proofErr w:type="spellEnd"/>
      <w:r w:rsidRPr="00B14CCC">
        <w:rPr>
          <w:rFonts w:ascii="Times New Roman" w:eastAsia="Times New Roman" w:hAnsi="Times New Roman" w:cs="Times New Roman"/>
          <w:sz w:val="24"/>
          <w:szCs w:val="24"/>
        </w:rPr>
        <w:t xml:space="preserve">, 2016). The antibacterial mechanisms involve disruption of bacterial cell walls, inhibition of protein synthesis, and interference with quorum sensing, </w:t>
      </w:r>
      <w:proofErr w:type="gramStart"/>
      <w:r w:rsidRPr="00B14CCC">
        <w:rPr>
          <w:rFonts w:ascii="Times New Roman" w:eastAsia="Times New Roman" w:hAnsi="Times New Roman" w:cs="Times New Roman"/>
          <w:sz w:val="24"/>
          <w:szCs w:val="24"/>
        </w:rPr>
        <w:t>the</w:t>
      </w:r>
      <w:proofErr w:type="gramEnd"/>
      <w:r w:rsidRPr="00B14CCC">
        <w:rPr>
          <w:rFonts w:ascii="Times New Roman" w:eastAsia="Times New Roman" w:hAnsi="Times New Roman" w:cs="Times New Roman"/>
          <w:sz w:val="24"/>
          <w:szCs w:val="24"/>
        </w:rPr>
        <w:t xml:space="preserve"> bacterial communication system that regulates virulence factor expression. Antifungal activities have been demonstrated against </w:t>
      </w:r>
      <w:proofErr w:type="spellStart"/>
      <w:r w:rsidRPr="00B14CCC">
        <w:rPr>
          <w:rFonts w:ascii="Times New Roman" w:eastAsia="Times New Roman" w:hAnsi="Times New Roman" w:cs="Times New Roman"/>
          <w:sz w:val="24"/>
          <w:szCs w:val="24"/>
        </w:rPr>
        <w:t>dermatophytes</w:t>
      </w:r>
      <w:proofErr w:type="spellEnd"/>
      <w:r w:rsidRPr="00B14CCC">
        <w:rPr>
          <w:rFonts w:ascii="Times New Roman" w:eastAsia="Times New Roman" w:hAnsi="Times New Roman" w:cs="Times New Roman"/>
          <w:sz w:val="24"/>
          <w:szCs w:val="24"/>
        </w:rPr>
        <w:t xml:space="preserve"> and </w:t>
      </w:r>
      <w:r w:rsidRPr="00B14CCC">
        <w:rPr>
          <w:rFonts w:ascii="Times New Roman" w:eastAsia="Times New Roman" w:hAnsi="Times New Roman" w:cs="Times New Roman"/>
          <w:i/>
          <w:iCs/>
          <w:sz w:val="24"/>
          <w:szCs w:val="24"/>
        </w:rPr>
        <w:t>Candida</w:t>
      </w:r>
      <w:r w:rsidRPr="00B14CCC">
        <w:rPr>
          <w:rFonts w:ascii="Times New Roman" w:eastAsia="Times New Roman" w:hAnsi="Times New Roman" w:cs="Times New Roman"/>
          <w:sz w:val="24"/>
          <w:szCs w:val="24"/>
        </w:rPr>
        <w:t xml:space="preserve"> species, validating traditional topical applications for fungal skin infections. Additionally, antiviral properties against several viruses, including dengue virus and herpes simplex virus, have been reported, though clinical validation remains limited.</w:t>
      </w:r>
    </w:p>
    <w:p w:rsidR="000216FD" w:rsidRPr="00B14CCC" w:rsidRDefault="000216FD"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sz w:val="24"/>
          <w:szCs w:val="24"/>
        </w:rPr>
        <w:lastRenderedPageBreak/>
        <w:t>Neem's</w:t>
      </w:r>
      <w:proofErr w:type="spellEnd"/>
      <w:r w:rsidRPr="00B14CCC">
        <w:rPr>
          <w:rFonts w:ascii="Times New Roman" w:eastAsia="Times New Roman" w:hAnsi="Times New Roman" w:cs="Times New Roman"/>
          <w:sz w:val="24"/>
          <w:szCs w:val="24"/>
        </w:rPr>
        <w:t xml:space="preserve"> anti-inflammatory and </w:t>
      </w:r>
      <w:proofErr w:type="spellStart"/>
      <w:r w:rsidRPr="00B14CCC">
        <w:rPr>
          <w:rFonts w:ascii="Times New Roman" w:eastAsia="Times New Roman" w:hAnsi="Times New Roman" w:cs="Times New Roman"/>
          <w:sz w:val="24"/>
          <w:szCs w:val="24"/>
        </w:rPr>
        <w:t>immunomodulatory</w:t>
      </w:r>
      <w:proofErr w:type="spellEnd"/>
      <w:r w:rsidRPr="00B14CCC">
        <w:rPr>
          <w:rFonts w:ascii="Times New Roman" w:eastAsia="Times New Roman" w:hAnsi="Times New Roman" w:cs="Times New Roman"/>
          <w:sz w:val="24"/>
          <w:szCs w:val="24"/>
        </w:rPr>
        <w:t xml:space="preserve"> properties provide mechanistic support for its traditional use in treating inflammatory conditions and autoimmune disorders. Studies have demonstrated that </w:t>
      </w:r>
      <w:proofErr w:type="spellStart"/>
      <w:r w:rsidRPr="00B14CCC">
        <w:rPr>
          <w:rFonts w:ascii="Times New Roman" w:eastAsia="Times New Roman" w:hAnsi="Times New Roman" w:cs="Times New Roman"/>
          <w:sz w:val="24"/>
          <w:szCs w:val="24"/>
        </w:rPr>
        <w:t>neem</w:t>
      </w:r>
      <w:proofErr w:type="spellEnd"/>
      <w:r w:rsidRPr="00B14CCC">
        <w:rPr>
          <w:rFonts w:ascii="Times New Roman" w:eastAsia="Times New Roman" w:hAnsi="Times New Roman" w:cs="Times New Roman"/>
          <w:sz w:val="24"/>
          <w:szCs w:val="24"/>
        </w:rPr>
        <w:t xml:space="preserve"> constituents suppress pro-inflammatory cytokine production, inhibit COX-2 expression, and modulate T-cell responses (</w:t>
      </w:r>
      <w:proofErr w:type="spellStart"/>
      <w:r w:rsidRPr="00B14CCC">
        <w:rPr>
          <w:rFonts w:ascii="Times New Roman" w:eastAsia="Times New Roman" w:hAnsi="Times New Roman" w:cs="Times New Roman"/>
          <w:sz w:val="24"/>
          <w:szCs w:val="24"/>
        </w:rPr>
        <w:t>Biswas</w:t>
      </w:r>
      <w:proofErr w:type="spellEnd"/>
      <w:r w:rsidRPr="00B14CCC">
        <w:rPr>
          <w:rFonts w:ascii="Times New Roman" w:eastAsia="Times New Roman" w:hAnsi="Times New Roman" w:cs="Times New Roman"/>
          <w:sz w:val="24"/>
          <w:szCs w:val="24"/>
        </w:rPr>
        <w:t xml:space="preserve"> et al., 2002). </w:t>
      </w:r>
      <w:proofErr w:type="spellStart"/>
      <w:r w:rsidRPr="00B14CCC">
        <w:rPr>
          <w:rFonts w:ascii="Times New Roman" w:eastAsia="Times New Roman" w:hAnsi="Times New Roman" w:cs="Times New Roman"/>
          <w:sz w:val="24"/>
          <w:szCs w:val="24"/>
        </w:rPr>
        <w:t>Nimbidin</w:t>
      </w:r>
      <w:proofErr w:type="spellEnd"/>
      <w:r w:rsidRPr="00B14CCC">
        <w:rPr>
          <w:rFonts w:ascii="Times New Roman" w:eastAsia="Times New Roman" w:hAnsi="Times New Roman" w:cs="Times New Roman"/>
          <w:sz w:val="24"/>
          <w:szCs w:val="24"/>
        </w:rPr>
        <w:t xml:space="preserve"> and other </w:t>
      </w:r>
      <w:proofErr w:type="spellStart"/>
      <w:r w:rsidRPr="00B14CCC">
        <w:rPr>
          <w:rFonts w:ascii="Times New Roman" w:eastAsia="Times New Roman" w:hAnsi="Times New Roman" w:cs="Times New Roman"/>
          <w:sz w:val="24"/>
          <w:szCs w:val="24"/>
        </w:rPr>
        <w:t>limonoids</w:t>
      </w:r>
      <w:proofErr w:type="spellEnd"/>
      <w:r w:rsidRPr="00B14CCC">
        <w:rPr>
          <w:rFonts w:ascii="Times New Roman" w:eastAsia="Times New Roman" w:hAnsi="Times New Roman" w:cs="Times New Roman"/>
          <w:sz w:val="24"/>
          <w:szCs w:val="24"/>
        </w:rPr>
        <w:t xml:space="preserve"> exhibit anti-inflammatory effects comparable to standard drugs in animal models of inflammation. Furthermore, research has revealed </w:t>
      </w:r>
      <w:proofErr w:type="spellStart"/>
      <w:r w:rsidRPr="00B14CCC">
        <w:rPr>
          <w:rFonts w:ascii="Times New Roman" w:eastAsia="Times New Roman" w:hAnsi="Times New Roman" w:cs="Times New Roman"/>
          <w:sz w:val="24"/>
          <w:szCs w:val="24"/>
        </w:rPr>
        <w:t>neem's</w:t>
      </w:r>
      <w:proofErr w:type="spellEnd"/>
      <w:r w:rsidRPr="00B14CCC">
        <w:rPr>
          <w:rFonts w:ascii="Times New Roman" w:eastAsia="Times New Roman" w:hAnsi="Times New Roman" w:cs="Times New Roman"/>
          <w:sz w:val="24"/>
          <w:szCs w:val="24"/>
        </w:rPr>
        <w:t xml:space="preserve"> potential in cancer prevention and treatment, with various extracts and isolated compounds demonstrating </w:t>
      </w:r>
      <w:proofErr w:type="spellStart"/>
      <w:r w:rsidRPr="00B14CCC">
        <w:rPr>
          <w:rFonts w:ascii="Times New Roman" w:eastAsia="Times New Roman" w:hAnsi="Times New Roman" w:cs="Times New Roman"/>
          <w:sz w:val="24"/>
          <w:szCs w:val="24"/>
        </w:rPr>
        <w:t>antiproliferative</w:t>
      </w:r>
      <w:proofErr w:type="spellEnd"/>
      <w:r w:rsidRPr="00B14CCC">
        <w:rPr>
          <w:rFonts w:ascii="Times New Roman" w:eastAsia="Times New Roman" w:hAnsi="Times New Roman" w:cs="Times New Roman"/>
          <w:sz w:val="24"/>
          <w:szCs w:val="24"/>
        </w:rPr>
        <w:t xml:space="preserve">, pro-apoptotic, and </w:t>
      </w:r>
      <w:proofErr w:type="spellStart"/>
      <w:r w:rsidRPr="00B14CCC">
        <w:rPr>
          <w:rFonts w:ascii="Times New Roman" w:eastAsia="Times New Roman" w:hAnsi="Times New Roman" w:cs="Times New Roman"/>
          <w:sz w:val="24"/>
          <w:szCs w:val="24"/>
        </w:rPr>
        <w:t>chemopreventive</w:t>
      </w:r>
      <w:proofErr w:type="spellEnd"/>
      <w:r w:rsidRPr="00B14CCC">
        <w:rPr>
          <w:rFonts w:ascii="Times New Roman" w:eastAsia="Times New Roman" w:hAnsi="Times New Roman" w:cs="Times New Roman"/>
          <w:sz w:val="24"/>
          <w:szCs w:val="24"/>
        </w:rPr>
        <w:t xml:space="preserve"> activities in multiple cancer cell lines and animal models.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oral healthcare applications of </w:t>
      </w:r>
      <w:proofErr w:type="spellStart"/>
      <w:r w:rsidRPr="00B14CCC">
        <w:rPr>
          <w:rFonts w:ascii="Times New Roman" w:eastAsia="Times New Roman" w:hAnsi="Times New Roman" w:cs="Times New Roman"/>
          <w:sz w:val="24"/>
          <w:szCs w:val="24"/>
        </w:rPr>
        <w:t>neem</w:t>
      </w:r>
      <w:proofErr w:type="spellEnd"/>
      <w:r w:rsidRPr="00B14CCC">
        <w:rPr>
          <w:rFonts w:ascii="Times New Roman" w:eastAsia="Times New Roman" w:hAnsi="Times New Roman" w:cs="Times New Roman"/>
          <w:sz w:val="24"/>
          <w:szCs w:val="24"/>
        </w:rPr>
        <w:t xml:space="preserve"> represent another well-validated traditional use, with </w:t>
      </w:r>
      <w:proofErr w:type="spellStart"/>
      <w:r w:rsidRPr="00B14CCC">
        <w:rPr>
          <w:rFonts w:ascii="Times New Roman" w:eastAsia="Times New Roman" w:hAnsi="Times New Roman" w:cs="Times New Roman"/>
          <w:sz w:val="24"/>
          <w:szCs w:val="24"/>
        </w:rPr>
        <w:t>neem</w:t>
      </w:r>
      <w:proofErr w:type="spellEnd"/>
      <w:r w:rsidRPr="00B14CCC">
        <w:rPr>
          <w:rFonts w:ascii="Times New Roman" w:eastAsia="Times New Roman" w:hAnsi="Times New Roman" w:cs="Times New Roman"/>
          <w:sz w:val="24"/>
          <w:szCs w:val="24"/>
        </w:rPr>
        <w:t xml:space="preserve"> twigs having been used as dental cleansing sticks (chewing sticks) for centuries across the Indian subcontinent and Africa. Clinical studies have confirmed that </w:t>
      </w:r>
      <w:proofErr w:type="spellStart"/>
      <w:r w:rsidRPr="00B14CCC">
        <w:rPr>
          <w:rFonts w:ascii="Times New Roman" w:eastAsia="Times New Roman" w:hAnsi="Times New Roman" w:cs="Times New Roman"/>
          <w:sz w:val="24"/>
          <w:szCs w:val="24"/>
        </w:rPr>
        <w:t>neem</w:t>
      </w:r>
      <w:proofErr w:type="spellEnd"/>
      <w:r w:rsidRPr="00B14CCC">
        <w:rPr>
          <w:rFonts w:ascii="Times New Roman" w:eastAsia="Times New Roman" w:hAnsi="Times New Roman" w:cs="Times New Roman"/>
          <w:sz w:val="24"/>
          <w:szCs w:val="24"/>
        </w:rPr>
        <w:t xml:space="preserve"> extract mouthwashes and toothpastes effectively reduce plaque formation, gingivitis, and oral bacterial populations, performing comparably to </w:t>
      </w:r>
      <w:proofErr w:type="spellStart"/>
      <w:r w:rsidRPr="00B14CCC">
        <w:rPr>
          <w:rFonts w:ascii="Times New Roman" w:eastAsia="Times New Roman" w:hAnsi="Times New Roman" w:cs="Times New Roman"/>
          <w:sz w:val="24"/>
          <w:szCs w:val="24"/>
        </w:rPr>
        <w:t>chlorhexidine</w:t>
      </w:r>
      <w:proofErr w:type="spellEnd"/>
      <w:r w:rsidRPr="00B14CCC">
        <w:rPr>
          <w:rFonts w:ascii="Times New Roman" w:eastAsia="Times New Roman" w:hAnsi="Times New Roman" w:cs="Times New Roman"/>
          <w:sz w:val="24"/>
          <w:szCs w:val="24"/>
        </w:rPr>
        <w:t xml:space="preserve"> in some studies (Lakshmi et al., 2015). These findings support the development of </w:t>
      </w:r>
      <w:proofErr w:type="spellStart"/>
      <w:r w:rsidRPr="00B14CCC">
        <w:rPr>
          <w:rFonts w:ascii="Times New Roman" w:eastAsia="Times New Roman" w:hAnsi="Times New Roman" w:cs="Times New Roman"/>
          <w:sz w:val="24"/>
          <w:szCs w:val="24"/>
        </w:rPr>
        <w:t>neem</w:t>
      </w:r>
      <w:proofErr w:type="spellEnd"/>
      <w:r w:rsidRPr="00B14CCC">
        <w:rPr>
          <w:rFonts w:ascii="Times New Roman" w:eastAsia="Times New Roman" w:hAnsi="Times New Roman" w:cs="Times New Roman"/>
          <w:sz w:val="24"/>
          <w:szCs w:val="24"/>
        </w:rPr>
        <w:t xml:space="preserve">-based oral healthcare products as natural alternatives to synthetic antimicrobials. The </w:t>
      </w:r>
      <w:proofErr w:type="spellStart"/>
      <w:r w:rsidRPr="00B14CCC">
        <w:rPr>
          <w:rFonts w:ascii="Times New Roman" w:eastAsia="Times New Roman" w:hAnsi="Times New Roman" w:cs="Times New Roman"/>
          <w:sz w:val="24"/>
          <w:szCs w:val="24"/>
        </w:rPr>
        <w:t>antidiabetic</w:t>
      </w:r>
      <w:proofErr w:type="spellEnd"/>
      <w:r w:rsidRPr="00B14CCC">
        <w:rPr>
          <w:rFonts w:ascii="Times New Roman" w:eastAsia="Times New Roman" w:hAnsi="Times New Roman" w:cs="Times New Roman"/>
          <w:sz w:val="24"/>
          <w:szCs w:val="24"/>
        </w:rPr>
        <w:t xml:space="preserve"> potential of </w:t>
      </w:r>
      <w:proofErr w:type="spellStart"/>
      <w:r w:rsidRPr="00B14CCC">
        <w:rPr>
          <w:rFonts w:ascii="Times New Roman" w:eastAsia="Times New Roman" w:hAnsi="Times New Roman" w:cs="Times New Roman"/>
          <w:sz w:val="24"/>
          <w:szCs w:val="24"/>
        </w:rPr>
        <w:t>neem</w:t>
      </w:r>
      <w:proofErr w:type="spellEnd"/>
      <w:r w:rsidRPr="00B14CCC">
        <w:rPr>
          <w:rFonts w:ascii="Times New Roman" w:eastAsia="Times New Roman" w:hAnsi="Times New Roman" w:cs="Times New Roman"/>
          <w:sz w:val="24"/>
          <w:szCs w:val="24"/>
        </w:rPr>
        <w:t xml:space="preserve"> has also been investigated, with studies showing that </w:t>
      </w:r>
      <w:proofErr w:type="spellStart"/>
      <w:r w:rsidRPr="00B14CCC">
        <w:rPr>
          <w:rFonts w:ascii="Times New Roman" w:eastAsia="Times New Roman" w:hAnsi="Times New Roman" w:cs="Times New Roman"/>
          <w:sz w:val="24"/>
          <w:szCs w:val="24"/>
        </w:rPr>
        <w:t>neem</w:t>
      </w:r>
      <w:proofErr w:type="spellEnd"/>
      <w:r w:rsidRPr="00B14CCC">
        <w:rPr>
          <w:rFonts w:ascii="Times New Roman" w:eastAsia="Times New Roman" w:hAnsi="Times New Roman" w:cs="Times New Roman"/>
          <w:sz w:val="24"/>
          <w:szCs w:val="24"/>
        </w:rPr>
        <w:t xml:space="preserve"> leaf extracts lower blood glucose levels and improve insulin sensitivity in animal models and some human trials, though larger clinical studies are needed for definitive validation.</w:t>
      </w:r>
    </w:p>
    <w:p w:rsidR="000216FD" w:rsidRPr="00B14CCC" w:rsidRDefault="000216FD"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 xml:space="preserve">5.4 </w:t>
      </w:r>
      <w:r w:rsidRPr="00B14CCC">
        <w:rPr>
          <w:rFonts w:ascii="Times New Roman" w:eastAsia="Times New Roman" w:hAnsi="Times New Roman" w:cs="Times New Roman"/>
          <w:b/>
          <w:bCs/>
          <w:i/>
          <w:iCs/>
          <w:sz w:val="24"/>
          <w:szCs w:val="24"/>
        </w:rPr>
        <w:t>Echinacea</w:t>
      </w:r>
      <w:r w:rsidRPr="00B14CCC">
        <w:rPr>
          <w:rFonts w:ascii="Times New Roman" w:eastAsia="Times New Roman" w:hAnsi="Times New Roman" w:cs="Times New Roman"/>
          <w:b/>
          <w:bCs/>
          <w:sz w:val="24"/>
          <w:szCs w:val="24"/>
        </w:rPr>
        <w:t xml:space="preserve"> Species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i/>
          <w:iCs/>
          <w:sz w:val="24"/>
          <w:szCs w:val="24"/>
        </w:rPr>
        <w:t>Echinacea</w:t>
      </w:r>
      <w:r w:rsidRPr="00B14CCC">
        <w:rPr>
          <w:rFonts w:ascii="Times New Roman" w:eastAsia="Times New Roman" w:hAnsi="Times New Roman" w:cs="Times New Roman"/>
          <w:sz w:val="24"/>
          <w:szCs w:val="24"/>
        </w:rPr>
        <w:t xml:space="preserve"> species, particularly </w:t>
      </w:r>
      <w:r w:rsidRPr="00B14CCC">
        <w:rPr>
          <w:rFonts w:ascii="Times New Roman" w:eastAsia="Times New Roman" w:hAnsi="Times New Roman" w:cs="Times New Roman"/>
          <w:i/>
          <w:iCs/>
          <w:sz w:val="24"/>
          <w:szCs w:val="24"/>
        </w:rPr>
        <w:t xml:space="preserve">E. </w:t>
      </w:r>
      <w:proofErr w:type="spellStart"/>
      <w:r w:rsidRPr="00B14CCC">
        <w:rPr>
          <w:rFonts w:ascii="Times New Roman" w:eastAsia="Times New Roman" w:hAnsi="Times New Roman" w:cs="Times New Roman"/>
          <w:i/>
          <w:iCs/>
          <w:sz w:val="24"/>
          <w:szCs w:val="24"/>
        </w:rPr>
        <w:t>purpurea</w:t>
      </w:r>
      <w:proofErr w:type="spellEnd"/>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 xml:space="preserve">E. </w:t>
      </w:r>
      <w:proofErr w:type="spellStart"/>
      <w:r w:rsidRPr="00B14CCC">
        <w:rPr>
          <w:rFonts w:ascii="Times New Roman" w:eastAsia="Times New Roman" w:hAnsi="Times New Roman" w:cs="Times New Roman"/>
          <w:i/>
          <w:iCs/>
          <w:sz w:val="24"/>
          <w:szCs w:val="24"/>
        </w:rPr>
        <w:t>angustifolia</w:t>
      </w:r>
      <w:proofErr w:type="spellEnd"/>
      <w:r w:rsidRPr="00B14CCC">
        <w:rPr>
          <w:rFonts w:ascii="Times New Roman" w:eastAsia="Times New Roman" w:hAnsi="Times New Roman" w:cs="Times New Roman"/>
          <w:sz w:val="24"/>
          <w:szCs w:val="24"/>
        </w:rPr>
        <w:t xml:space="preserve">, and </w:t>
      </w:r>
      <w:r w:rsidRPr="00B14CCC">
        <w:rPr>
          <w:rFonts w:ascii="Times New Roman" w:eastAsia="Times New Roman" w:hAnsi="Times New Roman" w:cs="Times New Roman"/>
          <w:i/>
          <w:iCs/>
          <w:sz w:val="24"/>
          <w:szCs w:val="24"/>
        </w:rPr>
        <w:t xml:space="preserve">E. </w:t>
      </w:r>
      <w:proofErr w:type="spellStart"/>
      <w:r w:rsidRPr="00B14CCC">
        <w:rPr>
          <w:rFonts w:ascii="Times New Roman" w:eastAsia="Times New Roman" w:hAnsi="Times New Roman" w:cs="Times New Roman"/>
          <w:i/>
          <w:iCs/>
          <w:sz w:val="24"/>
          <w:szCs w:val="24"/>
        </w:rPr>
        <w:t>pallida</w:t>
      </w:r>
      <w:proofErr w:type="spellEnd"/>
      <w:r w:rsidRPr="00B14CCC">
        <w:rPr>
          <w:rFonts w:ascii="Times New Roman" w:eastAsia="Times New Roman" w:hAnsi="Times New Roman" w:cs="Times New Roman"/>
          <w:sz w:val="24"/>
          <w:szCs w:val="24"/>
        </w:rPr>
        <w:t xml:space="preserve">, have been integral to Native American traditional medicine for centuries, with indigenous populations of the Great Plains region using these plants to treat wounds, snake bites, infections, and various inflammatory conditions. Following European colonization, </w:t>
      </w:r>
      <w:proofErr w:type="spellStart"/>
      <w:r w:rsidRPr="00B14CCC">
        <w:rPr>
          <w:rFonts w:ascii="Times New Roman" w:eastAsia="Times New Roman" w:hAnsi="Times New Roman" w:cs="Times New Roman"/>
          <w:sz w:val="24"/>
          <w:szCs w:val="24"/>
        </w:rPr>
        <w:t>echinacea</w:t>
      </w:r>
      <w:proofErr w:type="spellEnd"/>
      <w:r w:rsidRPr="00B14CCC">
        <w:rPr>
          <w:rFonts w:ascii="Times New Roman" w:eastAsia="Times New Roman" w:hAnsi="Times New Roman" w:cs="Times New Roman"/>
          <w:sz w:val="24"/>
          <w:szCs w:val="24"/>
        </w:rPr>
        <w:t xml:space="preserve"> became incorporated into Western herbal medicine and has emerged as one of the most widely used herbal supplements in North America and Europe, primarily for preventing and treating upper respiratory tract infections (Barrett, 2003). The commercial success of </w:t>
      </w:r>
      <w:proofErr w:type="spellStart"/>
      <w:r w:rsidRPr="00B14CCC">
        <w:rPr>
          <w:rFonts w:ascii="Times New Roman" w:eastAsia="Times New Roman" w:hAnsi="Times New Roman" w:cs="Times New Roman"/>
          <w:sz w:val="24"/>
          <w:szCs w:val="24"/>
        </w:rPr>
        <w:t>echinacea</w:t>
      </w:r>
      <w:proofErr w:type="spellEnd"/>
      <w:r w:rsidRPr="00B14CCC">
        <w:rPr>
          <w:rFonts w:ascii="Times New Roman" w:eastAsia="Times New Roman" w:hAnsi="Times New Roman" w:cs="Times New Roman"/>
          <w:sz w:val="24"/>
          <w:szCs w:val="24"/>
        </w:rPr>
        <w:t xml:space="preserve"> products and extensive scientific investigation make it an important case study in the validation and commercialization of indigenous medicinal knowledge.</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Phytochemical analysis reveals that </w:t>
      </w:r>
      <w:proofErr w:type="spellStart"/>
      <w:r w:rsidRPr="00B14CCC">
        <w:rPr>
          <w:rFonts w:ascii="Times New Roman" w:eastAsia="Times New Roman" w:hAnsi="Times New Roman" w:cs="Times New Roman"/>
          <w:sz w:val="24"/>
          <w:szCs w:val="24"/>
        </w:rPr>
        <w:t>echinacea</w:t>
      </w:r>
      <w:proofErr w:type="spellEnd"/>
      <w:r w:rsidRPr="00B14CCC">
        <w:rPr>
          <w:rFonts w:ascii="Times New Roman" w:eastAsia="Times New Roman" w:hAnsi="Times New Roman" w:cs="Times New Roman"/>
          <w:sz w:val="24"/>
          <w:szCs w:val="24"/>
        </w:rPr>
        <w:t xml:space="preserve"> contains a complex mixture of bioactive constituents, including </w:t>
      </w:r>
      <w:proofErr w:type="spellStart"/>
      <w:r w:rsidRPr="00B14CCC">
        <w:rPr>
          <w:rFonts w:ascii="Times New Roman" w:eastAsia="Times New Roman" w:hAnsi="Times New Roman" w:cs="Times New Roman"/>
          <w:sz w:val="24"/>
          <w:szCs w:val="24"/>
        </w:rPr>
        <w:t>alkamides</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isobutylamides</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caffeic</w:t>
      </w:r>
      <w:proofErr w:type="spellEnd"/>
      <w:r w:rsidRPr="00B14CCC">
        <w:rPr>
          <w:rFonts w:ascii="Times New Roman" w:eastAsia="Times New Roman" w:hAnsi="Times New Roman" w:cs="Times New Roman"/>
          <w:sz w:val="24"/>
          <w:szCs w:val="24"/>
        </w:rPr>
        <w:t xml:space="preserve"> acid derivatives (particularly </w:t>
      </w:r>
      <w:proofErr w:type="spellStart"/>
      <w:r w:rsidRPr="00B14CCC">
        <w:rPr>
          <w:rFonts w:ascii="Times New Roman" w:eastAsia="Times New Roman" w:hAnsi="Times New Roman" w:cs="Times New Roman"/>
          <w:sz w:val="24"/>
          <w:szCs w:val="24"/>
        </w:rPr>
        <w:t>cichoric</w:t>
      </w:r>
      <w:proofErr w:type="spellEnd"/>
      <w:r w:rsidRPr="00B14CCC">
        <w:rPr>
          <w:rFonts w:ascii="Times New Roman" w:eastAsia="Times New Roman" w:hAnsi="Times New Roman" w:cs="Times New Roman"/>
          <w:sz w:val="24"/>
          <w:szCs w:val="24"/>
        </w:rPr>
        <w:t xml:space="preserve"> acid and </w:t>
      </w:r>
      <w:proofErr w:type="spellStart"/>
      <w:r w:rsidRPr="00B14CCC">
        <w:rPr>
          <w:rFonts w:ascii="Times New Roman" w:eastAsia="Times New Roman" w:hAnsi="Times New Roman" w:cs="Times New Roman"/>
          <w:sz w:val="24"/>
          <w:szCs w:val="24"/>
        </w:rPr>
        <w:t>echinacoside</w:t>
      </w:r>
      <w:proofErr w:type="spellEnd"/>
      <w:r w:rsidRPr="00B14CCC">
        <w:rPr>
          <w:rFonts w:ascii="Times New Roman" w:eastAsia="Times New Roman" w:hAnsi="Times New Roman" w:cs="Times New Roman"/>
          <w:sz w:val="24"/>
          <w:szCs w:val="24"/>
        </w:rPr>
        <w:t xml:space="preserve">), polysaccharides, glycoproteins, and essential oils (Barnes et al., 2005). The relative concentrations of these constituents vary significantly among species, plant parts (roots versus aerial parts), and growing conditions, contributing to variability in product composition and efficacy. </w:t>
      </w:r>
      <w:proofErr w:type="spellStart"/>
      <w:r w:rsidRPr="00B14CCC">
        <w:rPr>
          <w:rFonts w:ascii="Times New Roman" w:eastAsia="Times New Roman" w:hAnsi="Times New Roman" w:cs="Times New Roman"/>
          <w:sz w:val="24"/>
          <w:szCs w:val="24"/>
        </w:rPr>
        <w:t>Alkamides</w:t>
      </w:r>
      <w:proofErr w:type="spellEnd"/>
      <w:r w:rsidRPr="00B14CCC">
        <w:rPr>
          <w:rFonts w:ascii="Times New Roman" w:eastAsia="Times New Roman" w:hAnsi="Times New Roman" w:cs="Times New Roman"/>
          <w:sz w:val="24"/>
          <w:szCs w:val="24"/>
        </w:rPr>
        <w:t xml:space="preserve">, which are concentrated in roots, interact with cannabinoid receptors and modulate immune cell function, while </w:t>
      </w:r>
      <w:proofErr w:type="spellStart"/>
      <w:r w:rsidRPr="00B14CCC">
        <w:rPr>
          <w:rFonts w:ascii="Times New Roman" w:eastAsia="Times New Roman" w:hAnsi="Times New Roman" w:cs="Times New Roman"/>
          <w:sz w:val="24"/>
          <w:szCs w:val="24"/>
        </w:rPr>
        <w:t>caffeic</w:t>
      </w:r>
      <w:proofErr w:type="spellEnd"/>
      <w:r w:rsidRPr="00B14CCC">
        <w:rPr>
          <w:rFonts w:ascii="Times New Roman" w:eastAsia="Times New Roman" w:hAnsi="Times New Roman" w:cs="Times New Roman"/>
          <w:sz w:val="24"/>
          <w:szCs w:val="24"/>
        </w:rPr>
        <w:t xml:space="preserve"> acid derivatives exhibit antioxidant and antiviral properties. The polysaccharide fraction demonstrates </w:t>
      </w:r>
      <w:proofErr w:type="spellStart"/>
      <w:r w:rsidRPr="00B14CCC">
        <w:rPr>
          <w:rFonts w:ascii="Times New Roman" w:eastAsia="Times New Roman" w:hAnsi="Times New Roman" w:cs="Times New Roman"/>
          <w:sz w:val="24"/>
          <w:szCs w:val="24"/>
        </w:rPr>
        <w:t>immunostimulatory</w:t>
      </w:r>
      <w:proofErr w:type="spellEnd"/>
      <w:r w:rsidRPr="00B14CCC">
        <w:rPr>
          <w:rFonts w:ascii="Times New Roman" w:eastAsia="Times New Roman" w:hAnsi="Times New Roman" w:cs="Times New Roman"/>
          <w:sz w:val="24"/>
          <w:szCs w:val="24"/>
        </w:rPr>
        <w:t xml:space="preserve"> effects by activating macrophages and natural killer cells, supporting traditional use for enhancing immune function.</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 xml:space="preserve">Clinical research on </w:t>
      </w:r>
      <w:proofErr w:type="spellStart"/>
      <w:r w:rsidRPr="00B14CCC">
        <w:rPr>
          <w:rFonts w:ascii="Times New Roman" w:eastAsia="Times New Roman" w:hAnsi="Times New Roman" w:cs="Times New Roman"/>
          <w:sz w:val="24"/>
          <w:szCs w:val="24"/>
        </w:rPr>
        <w:t>echinacea's</w:t>
      </w:r>
      <w:proofErr w:type="spellEnd"/>
      <w:r w:rsidRPr="00B14CCC">
        <w:rPr>
          <w:rFonts w:ascii="Times New Roman" w:eastAsia="Times New Roman" w:hAnsi="Times New Roman" w:cs="Times New Roman"/>
          <w:sz w:val="24"/>
          <w:szCs w:val="24"/>
        </w:rPr>
        <w:t xml:space="preserve"> efficacy for preventing and treating common colds has produced mixed results, with some trials demonstrating modest benefits while others show no significant effects compared to placebo. A comprehensive meta-analysis examining 24 controlled trials found that </w:t>
      </w:r>
      <w:proofErr w:type="spellStart"/>
      <w:r w:rsidRPr="00B14CCC">
        <w:rPr>
          <w:rFonts w:ascii="Times New Roman" w:eastAsia="Times New Roman" w:hAnsi="Times New Roman" w:cs="Times New Roman"/>
          <w:sz w:val="24"/>
          <w:szCs w:val="24"/>
        </w:rPr>
        <w:t>echinacea</w:t>
      </w:r>
      <w:proofErr w:type="spellEnd"/>
      <w:r w:rsidRPr="00B14CCC">
        <w:rPr>
          <w:rFonts w:ascii="Times New Roman" w:eastAsia="Times New Roman" w:hAnsi="Times New Roman" w:cs="Times New Roman"/>
          <w:sz w:val="24"/>
          <w:szCs w:val="24"/>
        </w:rPr>
        <w:t xml:space="preserve"> preparations reduced the odds of developing the common cold by 58% and reduced cold duration by an average of 1.4 days (Shah et al., 2007). However, significant heterogeneity among studies regarding </w:t>
      </w:r>
      <w:proofErr w:type="spellStart"/>
      <w:r w:rsidRPr="00B14CCC">
        <w:rPr>
          <w:rFonts w:ascii="Times New Roman" w:eastAsia="Times New Roman" w:hAnsi="Times New Roman" w:cs="Times New Roman"/>
          <w:sz w:val="24"/>
          <w:szCs w:val="24"/>
        </w:rPr>
        <w:t>echinacea</w:t>
      </w:r>
      <w:proofErr w:type="spellEnd"/>
      <w:r w:rsidRPr="00B14CCC">
        <w:rPr>
          <w:rFonts w:ascii="Times New Roman" w:eastAsia="Times New Roman" w:hAnsi="Times New Roman" w:cs="Times New Roman"/>
          <w:sz w:val="24"/>
          <w:szCs w:val="24"/>
        </w:rPr>
        <w:t xml:space="preserve"> species, plant parts used, extraction methods, dosages, and treatment timing complicates interpretation and contributes to variable outcomes. These inconsistencies highlight challenges in studying complex botanical preparations and emphasize the importance of standardization and quality control in herbal medicine research.</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Immunological investigations have revealed that </w:t>
      </w:r>
      <w:proofErr w:type="spellStart"/>
      <w:r w:rsidRPr="00B14CCC">
        <w:rPr>
          <w:rFonts w:ascii="Times New Roman" w:eastAsia="Times New Roman" w:hAnsi="Times New Roman" w:cs="Times New Roman"/>
          <w:sz w:val="24"/>
          <w:szCs w:val="24"/>
        </w:rPr>
        <w:t>echinacea</w:t>
      </w:r>
      <w:proofErr w:type="spellEnd"/>
      <w:r w:rsidRPr="00B14CCC">
        <w:rPr>
          <w:rFonts w:ascii="Times New Roman" w:eastAsia="Times New Roman" w:hAnsi="Times New Roman" w:cs="Times New Roman"/>
          <w:sz w:val="24"/>
          <w:szCs w:val="24"/>
        </w:rPr>
        <w:t xml:space="preserve"> extracts modulate various aspects of immune function, including enhancing phagocytosis, increasing production of cytokines such as tumor necrosis factor-alpha and interleukins, and activating natural killer cells (</w:t>
      </w:r>
      <w:proofErr w:type="spellStart"/>
      <w:r w:rsidRPr="00B14CCC">
        <w:rPr>
          <w:rFonts w:ascii="Times New Roman" w:eastAsia="Times New Roman" w:hAnsi="Times New Roman" w:cs="Times New Roman"/>
          <w:sz w:val="24"/>
          <w:szCs w:val="24"/>
        </w:rPr>
        <w:t>Manayi</w:t>
      </w:r>
      <w:proofErr w:type="spellEnd"/>
      <w:r w:rsidRPr="00B14CCC">
        <w:rPr>
          <w:rFonts w:ascii="Times New Roman" w:eastAsia="Times New Roman" w:hAnsi="Times New Roman" w:cs="Times New Roman"/>
          <w:sz w:val="24"/>
          <w:szCs w:val="24"/>
        </w:rPr>
        <w:t xml:space="preserve"> et al., 2015). Different constituents appear to exert distinct immunological effects, with </w:t>
      </w:r>
      <w:proofErr w:type="spellStart"/>
      <w:r w:rsidRPr="00B14CCC">
        <w:rPr>
          <w:rFonts w:ascii="Times New Roman" w:eastAsia="Times New Roman" w:hAnsi="Times New Roman" w:cs="Times New Roman"/>
          <w:sz w:val="24"/>
          <w:szCs w:val="24"/>
        </w:rPr>
        <w:t>alkamides</w:t>
      </w:r>
      <w:proofErr w:type="spellEnd"/>
      <w:r w:rsidRPr="00B14CCC">
        <w:rPr>
          <w:rFonts w:ascii="Times New Roman" w:eastAsia="Times New Roman" w:hAnsi="Times New Roman" w:cs="Times New Roman"/>
          <w:sz w:val="24"/>
          <w:szCs w:val="24"/>
        </w:rPr>
        <w:t xml:space="preserve"> suppressing inflammation while polysaccharides enhance immune activation, suggesting that whole extracts may provide balanced immunomodulation rather than simple immune stimulation. This complexity supports the concept of botanical synergy, where multiple constituents work together to produce therapeutic </w:t>
      </w:r>
      <w:proofErr w:type="gramStart"/>
      <w:r w:rsidRPr="00B14CCC">
        <w:rPr>
          <w:rFonts w:ascii="Times New Roman" w:eastAsia="Times New Roman" w:hAnsi="Times New Roman" w:cs="Times New Roman"/>
          <w:sz w:val="24"/>
          <w:szCs w:val="24"/>
        </w:rPr>
        <w:t>effects</w:t>
      </w:r>
      <w:proofErr w:type="gramEnd"/>
      <w:r w:rsidRPr="00B14CCC">
        <w:rPr>
          <w:rFonts w:ascii="Times New Roman" w:eastAsia="Times New Roman" w:hAnsi="Times New Roman" w:cs="Times New Roman"/>
          <w:sz w:val="24"/>
          <w:szCs w:val="24"/>
        </w:rPr>
        <w:t xml:space="preserve"> that differ from those of isolated compounds. However, concerns have been raised about potential adverse effects in individuals with autoimmune disorders or those taking immunosuppressive medications, highlighting the need for appropriate usage guidelines.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commercialization of </w:t>
      </w:r>
      <w:proofErr w:type="spellStart"/>
      <w:r w:rsidRPr="00B14CCC">
        <w:rPr>
          <w:rFonts w:ascii="Times New Roman" w:eastAsia="Times New Roman" w:hAnsi="Times New Roman" w:cs="Times New Roman"/>
          <w:sz w:val="24"/>
          <w:szCs w:val="24"/>
        </w:rPr>
        <w:t>echinacea</w:t>
      </w:r>
      <w:proofErr w:type="spellEnd"/>
      <w:r w:rsidRPr="00B14CCC">
        <w:rPr>
          <w:rFonts w:ascii="Times New Roman" w:eastAsia="Times New Roman" w:hAnsi="Times New Roman" w:cs="Times New Roman"/>
          <w:sz w:val="24"/>
          <w:szCs w:val="24"/>
        </w:rPr>
        <w:t xml:space="preserve"> demonstrates both the opportunities and challenges associated with developing indigenous medicinal plants into mainstream products. Global </w:t>
      </w:r>
      <w:proofErr w:type="spellStart"/>
      <w:r w:rsidRPr="00B14CCC">
        <w:rPr>
          <w:rFonts w:ascii="Times New Roman" w:eastAsia="Times New Roman" w:hAnsi="Times New Roman" w:cs="Times New Roman"/>
          <w:sz w:val="24"/>
          <w:szCs w:val="24"/>
        </w:rPr>
        <w:t>echinacea</w:t>
      </w:r>
      <w:proofErr w:type="spellEnd"/>
      <w:r w:rsidRPr="00B14CCC">
        <w:rPr>
          <w:rFonts w:ascii="Times New Roman" w:eastAsia="Times New Roman" w:hAnsi="Times New Roman" w:cs="Times New Roman"/>
          <w:sz w:val="24"/>
          <w:szCs w:val="24"/>
        </w:rPr>
        <w:t xml:space="preserve"> sales exceed hundreds of millions of dollars annually, yet quality and consistency issues persist in the marketplace, with studies revealing substantial variation in active constituent content among commercial products and instances of species misidentification or adulteration (Gilroy et al., 2003). These quality control problems undermine consumer confidence and complicate scientific evaluation of efficacy. Addressing these issues requires implementation of rigorous quality standards, improved analytical methods for product authentication, and transparent labeling practices that accurately represent product composition.</w:t>
      </w:r>
    </w:p>
    <w:p w:rsidR="000216FD" w:rsidRPr="00B14CCC" w:rsidRDefault="000216FD"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 xml:space="preserve">5.5 </w:t>
      </w:r>
      <w:proofErr w:type="spellStart"/>
      <w:r w:rsidRPr="00B14CCC">
        <w:rPr>
          <w:rFonts w:ascii="Times New Roman" w:eastAsia="Times New Roman" w:hAnsi="Times New Roman" w:cs="Times New Roman"/>
          <w:b/>
          <w:bCs/>
          <w:i/>
          <w:iCs/>
          <w:sz w:val="24"/>
          <w:szCs w:val="24"/>
        </w:rPr>
        <w:t>Catharanthus</w:t>
      </w:r>
      <w:proofErr w:type="spellEnd"/>
      <w:r w:rsidRPr="00B14CCC">
        <w:rPr>
          <w:rFonts w:ascii="Times New Roman" w:eastAsia="Times New Roman" w:hAnsi="Times New Roman" w:cs="Times New Roman"/>
          <w:b/>
          <w:bCs/>
          <w:i/>
          <w:iCs/>
          <w:sz w:val="24"/>
          <w:szCs w:val="24"/>
        </w:rPr>
        <w:t xml:space="preserve"> </w:t>
      </w:r>
      <w:proofErr w:type="spellStart"/>
      <w:r w:rsidRPr="00B14CCC">
        <w:rPr>
          <w:rFonts w:ascii="Times New Roman" w:eastAsia="Times New Roman" w:hAnsi="Times New Roman" w:cs="Times New Roman"/>
          <w:b/>
          <w:bCs/>
          <w:i/>
          <w:iCs/>
          <w:sz w:val="24"/>
          <w:szCs w:val="24"/>
        </w:rPr>
        <w:t>roseus</w:t>
      </w:r>
      <w:proofErr w:type="spellEnd"/>
      <w:r w:rsidRPr="00B14CCC">
        <w:rPr>
          <w:rFonts w:ascii="Times New Roman" w:eastAsia="Times New Roman" w:hAnsi="Times New Roman" w:cs="Times New Roman"/>
          <w:b/>
          <w:bCs/>
          <w:sz w:val="24"/>
          <w:szCs w:val="24"/>
        </w:rPr>
        <w:t xml:space="preserve"> (Madagascar </w:t>
      </w:r>
      <w:proofErr w:type="gramStart"/>
      <w:r w:rsidRPr="00B14CCC">
        <w:rPr>
          <w:rFonts w:ascii="Times New Roman" w:eastAsia="Times New Roman" w:hAnsi="Times New Roman" w:cs="Times New Roman"/>
          <w:b/>
          <w:bCs/>
          <w:sz w:val="24"/>
          <w:szCs w:val="24"/>
        </w:rPr>
        <w:t>Periwinkle</w:t>
      </w:r>
      <w:proofErr w:type="gramEnd"/>
      <w:r w:rsidRPr="00B14CCC">
        <w:rPr>
          <w:rFonts w:ascii="Times New Roman" w:eastAsia="Times New Roman" w:hAnsi="Times New Roman" w:cs="Times New Roman"/>
          <w:b/>
          <w:bCs/>
          <w:sz w:val="24"/>
          <w:szCs w:val="24"/>
        </w:rPr>
        <w:t>)</w:t>
      </w:r>
    </w:p>
    <w:p w:rsidR="000216FD" w:rsidRPr="00B14CCC" w:rsidRDefault="000216FD"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i/>
          <w:iCs/>
          <w:sz w:val="24"/>
          <w:szCs w:val="24"/>
        </w:rPr>
        <w:t>Catharanthus</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roseus</w:t>
      </w:r>
      <w:proofErr w:type="spellEnd"/>
      <w:r w:rsidRPr="00B14CCC">
        <w:rPr>
          <w:rFonts w:ascii="Times New Roman" w:eastAsia="Times New Roman" w:hAnsi="Times New Roman" w:cs="Times New Roman"/>
          <w:sz w:val="24"/>
          <w:szCs w:val="24"/>
        </w:rPr>
        <w:t xml:space="preserve">, commonly known as Madagascar periwinkle or rosy periwinkle, provides a compelling example of how traditional medicinal knowledge can lead to major pharmaceutical discoveries with global health impacts. Indigenous populations in Madagascar traditionally used the plant to treat diabetes, with various other applications documented across tropical regions where the plant has naturalized (Van Der </w:t>
      </w:r>
      <w:proofErr w:type="spellStart"/>
      <w:r w:rsidRPr="00B14CCC">
        <w:rPr>
          <w:rFonts w:ascii="Times New Roman" w:eastAsia="Times New Roman" w:hAnsi="Times New Roman" w:cs="Times New Roman"/>
          <w:sz w:val="24"/>
          <w:szCs w:val="24"/>
        </w:rPr>
        <w:t>Heijden</w:t>
      </w:r>
      <w:proofErr w:type="spellEnd"/>
      <w:r w:rsidRPr="00B14CCC">
        <w:rPr>
          <w:rFonts w:ascii="Times New Roman" w:eastAsia="Times New Roman" w:hAnsi="Times New Roman" w:cs="Times New Roman"/>
          <w:sz w:val="24"/>
          <w:szCs w:val="24"/>
        </w:rPr>
        <w:t xml:space="preserve"> et al., 2004). While systematic investigation of its </w:t>
      </w:r>
      <w:proofErr w:type="spellStart"/>
      <w:r w:rsidRPr="00B14CCC">
        <w:rPr>
          <w:rFonts w:ascii="Times New Roman" w:eastAsia="Times New Roman" w:hAnsi="Times New Roman" w:cs="Times New Roman"/>
          <w:sz w:val="24"/>
          <w:szCs w:val="24"/>
        </w:rPr>
        <w:t>antidiabetic</w:t>
      </w:r>
      <w:proofErr w:type="spellEnd"/>
      <w:r w:rsidRPr="00B14CCC">
        <w:rPr>
          <w:rFonts w:ascii="Times New Roman" w:eastAsia="Times New Roman" w:hAnsi="Times New Roman" w:cs="Times New Roman"/>
          <w:sz w:val="24"/>
          <w:szCs w:val="24"/>
        </w:rPr>
        <w:t xml:space="preserve"> properties yielded inconclusive results, phytochemical screening revealed the presence of alkaloids with potent anticancer activities, leading to the development of vinblastine and vincristine, two of the most important chemotherapeutic agents in modern oncology.</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i/>
          <w:iCs/>
          <w:sz w:val="24"/>
          <w:szCs w:val="24"/>
        </w:rPr>
        <w:lastRenderedPageBreak/>
        <w:t xml:space="preserve">C. </w:t>
      </w:r>
      <w:proofErr w:type="spellStart"/>
      <w:r w:rsidRPr="00B14CCC">
        <w:rPr>
          <w:rFonts w:ascii="Times New Roman" w:eastAsia="Times New Roman" w:hAnsi="Times New Roman" w:cs="Times New Roman"/>
          <w:i/>
          <w:iCs/>
          <w:sz w:val="24"/>
          <w:szCs w:val="24"/>
        </w:rPr>
        <w:t>roseus</w:t>
      </w:r>
      <w:proofErr w:type="spellEnd"/>
      <w:r w:rsidRPr="00B14CCC">
        <w:rPr>
          <w:rFonts w:ascii="Times New Roman" w:eastAsia="Times New Roman" w:hAnsi="Times New Roman" w:cs="Times New Roman"/>
          <w:sz w:val="24"/>
          <w:szCs w:val="24"/>
        </w:rPr>
        <w:t xml:space="preserve"> produces over 130 structurally diverse </w:t>
      </w:r>
      <w:proofErr w:type="spellStart"/>
      <w:r w:rsidRPr="00B14CCC">
        <w:rPr>
          <w:rFonts w:ascii="Times New Roman" w:eastAsia="Times New Roman" w:hAnsi="Times New Roman" w:cs="Times New Roman"/>
          <w:sz w:val="24"/>
          <w:szCs w:val="24"/>
        </w:rPr>
        <w:t>terpenoid</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indole</w:t>
      </w:r>
      <w:proofErr w:type="spellEnd"/>
      <w:r w:rsidRPr="00B14CCC">
        <w:rPr>
          <w:rFonts w:ascii="Times New Roman" w:eastAsia="Times New Roman" w:hAnsi="Times New Roman" w:cs="Times New Roman"/>
          <w:sz w:val="24"/>
          <w:szCs w:val="24"/>
        </w:rPr>
        <w:t xml:space="preserve"> alkaloids through complex biosynthetic pathways involving numerous enzymatic steps and cellular compartmentalization. The major alkaloid classes include </w:t>
      </w:r>
      <w:proofErr w:type="spellStart"/>
      <w:r w:rsidRPr="00B14CCC">
        <w:rPr>
          <w:rFonts w:ascii="Times New Roman" w:eastAsia="Times New Roman" w:hAnsi="Times New Roman" w:cs="Times New Roman"/>
          <w:sz w:val="24"/>
          <w:szCs w:val="24"/>
        </w:rPr>
        <w:t>vindoline</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catharanthine</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ajmalicine</w:t>
      </w:r>
      <w:proofErr w:type="spellEnd"/>
      <w:r w:rsidRPr="00B14CCC">
        <w:rPr>
          <w:rFonts w:ascii="Times New Roman" w:eastAsia="Times New Roman" w:hAnsi="Times New Roman" w:cs="Times New Roman"/>
          <w:sz w:val="24"/>
          <w:szCs w:val="24"/>
        </w:rPr>
        <w:t xml:space="preserve">, serpentine, and the </w:t>
      </w:r>
      <w:proofErr w:type="spellStart"/>
      <w:r w:rsidRPr="00B14CCC">
        <w:rPr>
          <w:rFonts w:ascii="Times New Roman" w:eastAsia="Times New Roman" w:hAnsi="Times New Roman" w:cs="Times New Roman"/>
          <w:sz w:val="24"/>
          <w:szCs w:val="24"/>
        </w:rPr>
        <w:t>bisindole</w:t>
      </w:r>
      <w:proofErr w:type="spellEnd"/>
      <w:r w:rsidRPr="00B14CCC">
        <w:rPr>
          <w:rFonts w:ascii="Times New Roman" w:eastAsia="Times New Roman" w:hAnsi="Times New Roman" w:cs="Times New Roman"/>
          <w:sz w:val="24"/>
          <w:szCs w:val="24"/>
        </w:rPr>
        <w:t xml:space="preserve"> alkaloids vinblastine and vincristine (Van Der </w:t>
      </w:r>
      <w:proofErr w:type="spellStart"/>
      <w:r w:rsidRPr="00B14CCC">
        <w:rPr>
          <w:rFonts w:ascii="Times New Roman" w:eastAsia="Times New Roman" w:hAnsi="Times New Roman" w:cs="Times New Roman"/>
          <w:sz w:val="24"/>
          <w:szCs w:val="24"/>
        </w:rPr>
        <w:t>Heijden</w:t>
      </w:r>
      <w:proofErr w:type="spellEnd"/>
      <w:r w:rsidRPr="00B14CCC">
        <w:rPr>
          <w:rFonts w:ascii="Times New Roman" w:eastAsia="Times New Roman" w:hAnsi="Times New Roman" w:cs="Times New Roman"/>
          <w:sz w:val="24"/>
          <w:szCs w:val="24"/>
        </w:rPr>
        <w:t xml:space="preserve"> et al., 2004). </w:t>
      </w:r>
      <w:proofErr w:type="gramStart"/>
      <w:r w:rsidRPr="00B14CCC">
        <w:rPr>
          <w:rFonts w:ascii="Times New Roman" w:eastAsia="Times New Roman" w:hAnsi="Times New Roman" w:cs="Times New Roman"/>
          <w:sz w:val="24"/>
          <w:szCs w:val="24"/>
        </w:rPr>
        <w:t xml:space="preserve">Vinblastine and vincristine, which are present in the plant at extremely low concentrations (0.0003% and 0.00003% dry weight, respectively), are formed through the coupling of </w:t>
      </w:r>
      <w:proofErr w:type="spellStart"/>
      <w:r w:rsidRPr="00B14CCC">
        <w:rPr>
          <w:rFonts w:ascii="Times New Roman" w:eastAsia="Times New Roman" w:hAnsi="Times New Roman" w:cs="Times New Roman"/>
          <w:sz w:val="24"/>
          <w:szCs w:val="24"/>
        </w:rPr>
        <w:t>vindoline</w:t>
      </w:r>
      <w:proofErr w:type="spellEnd"/>
      <w:r w:rsidRPr="00B14CCC">
        <w:rPr>
          <w:rFonts w:ascii="Times New Roman" w:eastAsia="Times New Roman" w:hAnsi="Times New Roman" w:cs="Times New Roman"/>
          <w:sz w:val="24"/>
          <w:szCs w:val="24"/>
        </w:rPr>
        <w:t xml:space="preserve"> and </w:t>
      </w:r>
      <w:proofErr w:type="spellStart"/>
      <w:r w:rsidRPr="00B14CCC">
        <w:rPr>
          <w:rFonts w:ascii="Times New Roman" w:eastAsia="Times New Roman" w:hAnsi="Times New Roman" w:cs="Times New Roman"/>
          <w:sz w:val="24"/>
          <w:szCs w:val="24"/>
        </w:rPr>
        <w:t>catharanthine</w:t>
      </w:r>
      <w:proofErr w:type="spellEnd"/>
      <w:r w:rsidRPr="00B14CCC">
        <w:rPr>
          <w:rFonts w:ascii="Times New Roman" w:eastAsia="Times New Roman" w:hAnsi="Times New Roman" w:cs="Times New Roman"/>
          <w:sz w:val="24"/>
          <w:szCs w:val="24"/>
        </w:rPr>
        <w:t>.</w:t>
      </w:r>
      <w:proofErr w:type="gramEnd"/>
      <w:r w:rsidRPr="00B14CCC">
        <w:rPr>
          <w:rFonts w:ascii="Times New Roman" w:eastAsia="Times New Roman" w:hAnsi="Times New Roman" w:cs="Times New Roman"/>
          <w:sz w:val="24"/>
          <w:szCs w:val="24"/>
        </w:rPr>
        <w:t xml:space="preserve"> The identification and isolation of these compounds in the late 1950s and early 1960s represented a breakthrough in cancer chemotherapy,</w:t>
      </w:r>
      <w:r w:rsid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sz w:val="24"/>
          <w:szCs w:val="24"/>
        </w:rPr>
        <w:t>providing effective treatments for previously untreatable malignancies.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Vinblastine and vincristine function as mitotic inhibitors by binding to tubulin, the protein that forms microtubules essential for cell division. This binding prevents microtubule polymerization, arresting cells in metaphase and ultimately triggering apoptosis (Jordan &amp; Wilson, 2004). Vinblastine is primarily used in combination chemotherapy regimens for treating Hodgkin's lymphoma, non-Hodgkin's lymphomas, testicular cancer, and breast cancer, while vincristine is a cornerstone of treatment protocols for acute lymphoblastic leukemia, particularly in pediatric patients, as well as for </w:t>
      </w:r>
      <w:proofErr w:type="spellStart"/>
      <w:r w:rsidRPr="00B14CCC">
        <w:rPr>
          <w:rFonts w:ascii="Times New Roman" w:eastAsia="Times New Roman" w:hAnsi="Times New Roman" w:cs="Times New Roman"/>
          <w:sz w:val="24"/>
          <w:szCs w:val="24"/>
        </w:rPr>
        <w:t>neuroblastoma</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Wilms</w:t>
      </w:r>
      <w:proofErr w:type="spellEnd"/>
      <w:r w:rsidRPr="00B14CCC">
        <w:rPr>
          <w:rFonts w:ascii="Times New Roman" w:eastAsia="Times New Roman" w:hAnsi="Times New Roman" w:cs="Times New Roman"/>
          <w:sz w:val="24"/>
          <w:szCs w:val="24"/>
        </w:rPr>
        <w:t xml:space="preserve">' tumor, and other childhood malignancies. The development of these drugs transformed previously fatal childhood </w:t>
      </w:r>
      <w:proofErr w:type="spellStart"/>
      <w:r w:rsidRPr="00B14CCC">
        <w:rPr>
          <w:rFonts w:ascii="Times New Roman" w:eastAsia="Times New Roman" w:hAnsi="Times New Roman" w:cs="Times New Roman"/>
          <w:sz w:val="24"/>
          <w:szCs w:val="24"/>
        </w:rPr>
        <w:t>leukemias</w:t>
      </w:r>
      <w:proofErr w:type="spellEnd"/>
      <w:r w:rsidRPr="00B14CCC">
        <w:rPr>
          <w:rFonts w:ascii="Times New Roman" w:eastAsia="Times New Roman" w:hAnsi="Times New Roman" w:cs="Times New Roman"/>
          <w:sz w:val="24"/>
          <w:szCs w:val="24"/>
        </w:rPr>
        <w:t xml:space="preserve"> into treatable conditions, with cure rates exceeding 90% in many cases, representing one of the most significant therapeutic advances in oncology history.</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commercial production of vinblastine and vincristine faces significant challenges due to their structural complexity and low natural abundance. Total chemical synthesis is economically impractical due to the large number of synthetic steps required, necessitating extraction from cultivated </w:t>
      </w:r>
      <w:r w:rsidRPr="00B14CCC">
        <w:rPr>
          <w:rFonts w:ascii="Times New Roman" w:eastAsia="Times New Roman" w:hAnsi="Times New Roman" w:cs="Times New Roman"/>
          <w:i/>
          <w:iCs/>
          <w:sz w:val="24"/>
          <w:szCs w:val="24"/>
        </w:rPr>
        <w:t xml:space="preserve">C. </w:t>
      </w:r>
      <w:proofErr w:type="spellStart"/>
      <w:r w:rsidRPr="00B14CCC">
        <w:rPr>
          <w:rFonts w:ascii="Times New Roman" w:eastAsia="Times New Roman" w:hAnsi="Times New Roman" w:cs="Times New Roman"/>
          <w:i/>
          <w:iCs/>
          <w:sz w:val="24"/>
          <w:szCs w:val="24"/>
        </w:rPr>
        <w:t>roseus</w:t>
      </w:r>
      <w:proofErr w:type="spellEnd"/>
      <w:r w:rsidRPr="00B14CCC">
        <w:rPr>
          <w:rFonts w:ascii="Times New Roman" w:eastAsia="Times New Roman" w:hAnsi="Times New Roman" w:cs="Times New Roman"/>
          <w:sz w:val="24"/>
          <w:szCs w:val="24"/>
        </w:rPr>
        <w:t xml:space="preserve"> plants (</w:t>
      </w:r>
      <w:proofErr w:type="spellStart"/>
      <w:r w:rsidRPr="00B14CCC">
        <w:rPr>
          <w:rFonts w:ascii="Times New Roman" w:eastAsia="Times New Roman" w:hAnsi="Times New Roman" w:cs="Times New Roman"/>
          <w:sz w:val="24"/>
          <w:szCs w:val="24"/>
        </w:rPr>
        <w:t>Verma</w:t>
      </w:r>
      <w:proofErr w:type="spellEnd"/>
      <w:r w:rsidRPr="00B14CCC">
        <w:rPr>
          <w:rFonts w:ascii="Times New Roman" w:eastAsia="Times New Roman" w:hAnsi="Times New Roman" w:cs="Times New Roman"/>
          <w:sz w:val="24"/>
          <w:szCs w:val="24"/>
        </w:rPr>
        <w:t xml:space="preserve"> et al., 2012). Approximately 500 kilograms of dried leaves are required to produce one gram of vincristine, highlighting the agricultural demands and economic costs associated with production. This reality has stimulated research into biotechnological approaches for increasing alkaloid production, including plant cell culture, hairy root culture, metabolic engineering, and synthetic biology approaches. Recent advances in elucidating the complete biosynthetic pathway have enabled engineering of microbial systems for producing pathway intermediates, though commercial-scale production of the final therapeutic compounds through fermentation remains elusive.</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Semi-synthetic derivatives of the </w:t>
      </w:r>
      <w:r w:rsidRPr="00B14CCC">
        <w:rPr>
          <w:rFonts w:ascii="Times New Roman" w:eastAsia="Times New Roman" w:hAnsi="Times New Roman" w:cs="Times New Roman"/>
          <w:i/>
          <w:iCs/>
          <w:sz w:val="24"/>
          <w:szCs w:val="24"/>
        </w:rPr>
        <w:t xml:space="preserve">C. </w:t>
      </w:r>
      <w:proofErr w:type="spellStart"/>
      <w:r w:rsidRPr="00B14CCC">
        <w:rPr>
          <w:rFonts w:ascii="Times New Roman" w:eastAsia="Times New Roman" w:hAnsi="Times New Roman" w:cs="Times New Roman"/>
          <w:i/>
          <w:iCs/>
          <w:sz w:val="24"/>
          <w:szCs w:val="24"/>
        </w:rPr>
        <w:t>roseus</w:t>
      </w:r>
      <w:proofErr w:type="spellEnd"/>
      <w:r w:rsidRPr="00B14CCC">
        <w:rPr>
          <w:rFonts w:ascii="Times New Roman" w:eastAsia="Times New Roman" w:hAnsi="Times New Roman" w:cs="Times New Roman"/>
          <w:sz w:val="24"/>
          <w:szCs w:val="24"/>
        </w:rPr>
        <w:t xml:space="preserve"> alkaloids have been developed to improve therapeutic properties and overcome limitations of the natural compounds. </w:t>
      </w:r>
      <w:proofErr w:type="spellStart"/>
      <w:r w:rsidRPr="00B14CCC">
        <w:rPr>
          <w:rFonts w:ascii="Times New Roman" w:eastAsia="Times New Roman" w:hAnsi="Times New Roman" w:cs="Times New Roman"/>
          <w:sz w:val="24"/>
          <w:szCs w:val="24"/>
        </w:rPr>
        <w:t>Vinorelbine</w:t>
      </w:r>
      <w:proofErr w:type="spellEnd"/>
      <w:r w:rsidRPr="00B14CCC">
        <w:rPr>
          <w:rFonts w:ascii="Times New Roman" w:eastAsia="Times New Roman" w:hAnsi="Times New Roman" w:cs="Times New Roman"/>
          <w:sz w:val="24"/>
          <w:szCs w:val="24"/>
        </w:rPr>
        <w:t xml:space="preserve">, a semi-synthetic derivative of vinblastine, exhibits improved therapeutic index and is widely used for treating non-small cell lung cancer and metastatic breast cancer (Jordan &amp; Wilson, 2004). </w:t>
      </w:r>
      <w:proofErr w:type="spellStart"/>
      <w:r w:rsidRPr="00B14CCC">
        <w:rPr>
          <w:rFonts w:ascii="Times New Roman" w:eastAsia="Times New Roman" w:hAnsi="Times New Roman" w:cs="Times New Roman"/>
          <w:sz w:val="24"/>
          <w:szCs w:val="24"/>
        </w:rPr>
        <w:t>Vindesine</w:t>
      </w:r>
      <w:proofErr w:type="spellEnd"/>
      <w:r w:rsidRPr="00B14CCC">
        <w:rPr>
          <w:rFonts w:ascii="Times New Roman" w:eastAsia="Times New Roman" w:hAnsi="Times New Roman" w:cs="Times New Roman"/>
          <w:sz w:val="24"/>
          <w:szCs w:val="24"/>
        </w:rPr>
        <w:t>, another vinblastine derivative, is employed in various combination chemotherapy regimens. These developments demonstrate how natural products can serve as scaffolds for medicinal chemistry efforts to optimize pharmacological properties while retaining essential structural features responsible for biological activity.</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w:t>
      </w:r>
      <w:r w:rsidRPr="00B14CCC">
        <w:rPr>
          <w:rFonts w:ascii="Times New Roman" w:eastAsia="Times New Roman" w:hAnsi="Times New Roman" w:cs="Times New Roman"/>
          <w:i/>
          <w:iCs/>
          <w:sz w:val="24"/>
          <w:szCs w:val="24"/>
        </w:rPr>
        <w:t xml:space="preserve">C. </w:t>
      </w:r>
      <w:proofErr w:type="spellStart"/>
      <w:r w:rsidRPr="00B14CCC">
        <w:rPr>
          <w:rFonts w:ascii="Times New Roman" w:eastAsia="Times New Roman" w:hAnsi="Times New Roman" w:cs="Times New Roman"/>
          <w:i/>
          <w:iCs/>
          <w:sz w:val="24"/>
          <w:szCs w:val="24"/>
        </w:rPr>
        <w:t>roseus</w:t>
      </w:r>
      <w:proofErr w:type="spellEnd"/>
      <w:r w:rsidRPr="00B14CCC">
        <w:rPr>
          <w:rFonts w:ascii="Times New Roman" w:eastAsia="Times New Roman" w:hAnsi="Times New Roman" w:cs="Times New Roman"/>
          <w:sz w:val="24"/>
          <w:szCs w:val="24"/>
        </w:rPr>
        <w:t xml:space="preserve"> success story raises important considerations regarding benefit-sharing and intellectual property rights in natural product drug discovery. The plants originated from Madagascar, and indigenous knowledge guided initial interest in the species, yet neither </w:t>
      </w:r>
      <w:r w:rsidRPr="00B14CCC">
        <w:rPr>
          <w:rFonts w:ascii="Times New Roman" w:eastAsia="Times New Roman" w:hAnsi="Times New Roman" w:cs="Times New Roman"/>
          <w:sz w:val="24"/>
          <w:szCs w:val="24"/>
        </w:rPr>
        <w:lastRenderedPageBreak/>
        <w:t xml:space="preserve">Madagascar nor indigenous communities received significant financial benefits from the multi-billion-dollar pharmaceutical market for </w:t>
      </w:r>
      <w:proofErr w:type="spellStart"/>
      <w:r w:rsidRPr="00B14CCC">
        <w:rPr>
          <w:rFonts w:ascii="Times New Roman" w:eastAsia="Times New Roman" w:hAnsi="Times New Roman" w:cs="Times New Roman"/>
          <w:sz w:val="24"/>
          <w:szCs w:val="24"/>
        </w:rPr>
        <w:t>vinca</w:t>
      </w:r>
      <w:proofErr w:type="spellEnd"/>
      <w:r w:rsidRPr="00B14CCC">
        <w:rPr>
          <w:rFonts w:ascii="Times New Roman" w:eastAsia="Times New Roman" w:hAnsi="Times New Roman" w:cs="Times New Roman"/>
          <w:sz w:val="24"/>
          <w:szCs w:val="24"/>
        </w:rPr>
        <w:t xml:space="preserve"> alkaloids (Robinson, 2010). This case contributed to growing international recognition of the need for equitable benefit-sharing arrangements, ultimately influencing development of the Convention on Biological Diversity and the Nagoya Protocol. The example underscores ethical imperatives for ensuring that indigenous communities and biodiversity-rich nations receive fair compensation when traditional knowledge and genetic resources contribute to commercial pharmaceutical development.</w:t>
      </w:r>
    </w:p>
    <w:p w:rsidR="000216FD" w:rsidRPr="00B14CCC" w:rsidRDefault="000216FD"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6. Biological Activity and Pharmacological Validation</w:t>
      </w:r>
    </w:p>
    <w:p w:rsidR="000216FD" w:rsidRPr="00B14CCC" w:rsidRDefault="000216FD"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6.1 Antimicrobial Properties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antimicrobial activities of medicinal plants represent one of the most extensively investigated areas of </w:t>
      </w:r>
      <w:proofErr w:type="spellStart"/>
      <w:r w:rsidRPr="00B14CCC">
        <w:rPr>
          <w:rFonts w:ascii="Times New Roman" w:eastAsia="Times New Roman" w:hAnsi="Times New Roman" w:cs="Times New Roman"/>
          <w:sz w:val="24"/>
          <w:szCs w:val="24"/>
        </w:rPr>
        <w:t>ethnopharmacological</w:t>
      </w:r>
      <w:proofErr w:type="spellEnd"/>
      <w:r w:rsidRPr="00B14CCC">
        <w:rPr>
          <w:rFonts w:ascii="Times New Roman" w:eastAsia="Times New Roman" w:hAnsi="Times New Roman" w:cs="Times New Roman"/>
          <w:sz w:val="24"/>
          <w:szCs w:val="24"/>
        </w:rPr>
        <w:t xml:space="preserve"> research, driven by both the historical prevalence of infectious diseases as primary targets of traditional medicine and the contemporary crisis of antibiotic resistance threatening global health. Indigenous populations worldwide have utilized medicinal plants for treating infections long before the germ theory of disease was established, demonstrating empirical understanding of antimicrobial principles through successful treatment outcomes (Cowan, 1999). Contemporary scientific investigation has validated antimicrobial properties for numerous traditionally used plants while elucidating the phytochemical constituents and mechanisms responsible for these activities.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Antimicrobial phytochemicals employ diverse mechanisms to inhibit or kill pathogenic microorganisms, including disruption of cell membrane integrity, inhibition of cell wall synthesis, interference with nucleic acid synthesis, inhibition of protein synthesis, disruption of metabolic pathways, and inhibition of quorum sensing systems that regulate bacterial virulence (</w:t>
      </w:r>
      <w:proofErr w:type="spellStart"/>
      <w:r w:rsidRPr="00B14CCC">
        <w:rPr>
          <w:rFonts w:ascii="Times New Roman" w:eastAsia="Times New Roman" w:hAnsi="Times New Roman" w:cs="Times New Roman"/>
          <w:sz w:val="24"/>
          <w:szCs w:val="24"/>
        </w:rPr>
        <w:t>Cushnie</w:t>
      </w:r>
      <w:proofErr w:type="spellEnd"/>
      <w:r w:rsidRPr="00B14CCC">
        <w:rPr>
          <w:rFonts w:ascii="Times New Roman" w:eastAsia="Times New Roman" w:hAnsi="Times New Roman" w:cs="Times New Roman"/>
          <w:sz w:val="24"/>
          <w:szCs w:val="24"/>
        </w:rPr>
        <w:t xml:space="preserve"> &amp; Lamb, 2011). Different classes of phytochemicals exhibit distinct antimicrobial mechanisms, with some compounds demonstrating multiple mechanisms simultaneously. For example, essential oils containing </w:t>
      </w:r>
      <w:proofErr w:type="spellStart"/>
      <w:r w:rsidRPr="00B14CCC">
        <w:rPr>
          <w:rFonts w:ascii="Times New Roman" w:eastAsia="Times New Roman" w:hAnsi="Times New Roman" w:cs="Times New Roman"/>
          <w:sz w:val="24"/>
          <w:szCs w:val="24"/>
        </w:rPr>
        <w:t>monoterpenes</w:t>
      </w:r>
      <w:proofErr w:type="spellEnd"/>
      <w:r w:rsidRPr="00B14CCC">
        <w:rPr>
          <w:rFonts w:ascii="Times New Roman" w:eastAsia="Times New Roman" w:hAnsi="Times New Roman" w:cs="Times New Roman"/>
          <w:sz w:val="24"/>
          <w:szCs w:val="24"/>
        </w:rPr>
        <w:t xml:space="preserve"> and </w:t>
      </w:r>
      <w:proofErr w:type="spellStart"/>
      <w:r w:rsidRPr="00B14CCC">
        <w:rPr>
          <w:rFonts w:ascii="Times New Roman" w:eastAsia="Times New Roman" w:hAnsi="Times New Roman" w:cs="Times New Roman"/>
          <w:sz w:val="24"/>
          <w:szCs w:val="24"/>
        </w:rPr>
        <w:t>sesquiterpenes</w:t>
      </w:r>
      <w:proofErr w:type="spellEnd"/>
      <w:r w:rsidRPr="00B14CCC">
        <w:rPr>
          <w:rFonts w:ascii="Times New Roman" w:eastAsia="Times New Roman" w:hAnsi="Times New Roman" w:cs="Times New Roman"/>
          <w:sz w:val="24"/>
          <w:szCs w:val="24"/>
        </w:rPr>
        <w:t xml:space="preserve"> typically exert antimicrobial effects through disrupting membrane integrity due to their lipophilic nature, leading to increased membrane permeability, loss of cellular contents, and cell death. Phenolic compounds, including flavonoids and tannins, can bind to cell wall proteins, inhibit enzymes, and chelate metal ions essential for microbial metabolism.</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Research has demonstrated that numerous traditional medicinal plants exhibit activity against antibiotic-resistant bacterial strains, including methicillin-resistant </w:t>
      </w:r>
      <w:r w:rsidRPr="00B14CCC">
        <w:rPr>
          <w:rFonts w:ascii="Times New Roman" w:eastAsia="Times New Roman" w:hAnsi="Times New Roman" w:cs="Times New Roman"/>
          <w:i/>
          <w:iCs/>
          <w:sz w:val="24"/>
          <w:szCs w:val="24"/>
        </w:rPr>
        <w:t xml:space="preserve">Staphylococcus </w:t>
      </w:r>
      <w:proofErr w:type="spellStart"/>
      <w:r w:rsidRPr="00B14CCC">
        <w:rPr>
          <w:rFonts w:ascii="Times New Roman" w:eastAsia="Times New Roman" w:hAnsi="Times New Roman" w:cs="Times New Roman"/>
          <w:i/>
          <w:iCs/>
          <w:sz w:val="24"/>
          <w:szCs w:val="24"/>
        </w:rPr>
        <w:t>aureus</w:t>
      </w:r>
      <w:proofErr w:type="spellEnd"/>
      <w:r w:rsidRPr="00B14CCC">
        <w:rPr>
          <w:rFonts w:ascii="Times New Roman" w:eastAsia="Times New Roman" w:hAnsi="Times New Roman" w:cs="Times New Roman"/>
          <w:sz w:val="24"/>
          <w:szCs w:val="24"/>
        </w:rPr>
        <w:t xml:space="preserve"> (MRSA), </w:t>
      </w:r>
      <w:proofErr w:type="spellStart"/>
      <w:r w:rsidRPr="00B14CCC">
        <w:rPr>
          <w:rFonts w:ascii="Times New Roman" w:eastAsia="Times New Roman" w:hAnsi="Times New Roman" w:cs="Times New Roman"/>
          <w:sz w:val="24"/>
          <w:szCs w:val="24"/>
        </w:rPr>
        <w:t>vancomycin</w:t>
      </w:r>
      <w:proofErr w:type="spellEnd"/>
      <w:r w:rsidRPr="00B14CCC">
        <w:rPr>
          <w:rFonts w:ascii="Times New Roman" w:eastAsia="Times New Roman" w:hAnsi="Times New Roman" w:cs="Times New Roman"/>
          <w:sz w:val="24"/>
          <w:szCs w:val="24"/>
        </w:rPr>
        <w:t xml:space="preserve">-resistant enterococci (VRE), and multidrug-resistant </w:t>
      </w:r>
      <w:r w:rsidRPr="00B14CCC">
        <w:rPr>
          <w:rFonts w:ascii="Times New Roman" w:eastAsia="Times New Roman" w:hAnsi="Times New Roman" w:cs="Times New Roman"/>
          <w:i/>
          <w:iCs/>
          <w:sz w:val="24"/>
          <w:szCs w:val="24"/>
        </w:rPr>
        <w:t>Mycobacterium tuberculosis</w:t>
      </w:r>
      <w:r w:rsidRPr="00B14CCC">
        <w:rPr>
          <w:rFonts w:ascii="Times New Roman" w:eastAsia="Times New Roman" w:hAnsi="Times New Roman" w:cs="Times New Roman"/>
          <w:sz w:val="24"/>
          <w:szCs w:val="24"/>
        </w:rPr>
        <w:t>. A comprehensive study examining the antimicrobial activities of South African medicinal plants found that approximately 75% of tested species exhibited significant antibacterial activity, with minimum inhibitory concentrations (MICs) ranging from 0.04 to 2.5 mg/mL (</w:t>
      </w:r>
      <w:proofErr w:type="spellStart"/>
      <w:r w:rsidRPr="00B14CCC">
        <w:rPr>
          <w:rFonts w:ascii="Times New Roman" w:eastAsia="Times New Roman" w:hAnsi="Times New Roman" w:cs="Times New Roman"/>
          <w:sz w:val="24"/>
          <w:szCs w:val="24"/>
        </w:rPr>
        <w:t>Ncube</w:t>
      </w:r>
      <w:proofErr w:type="spellEnd"/>
      <w:r w:rsidRPr="00B14CCC">
        <w:rPr>
          <w:rFonts w:ascii="Times New Roman" w:eastAsia="Times New Roman" w:hAnsi="Times New Roman" w:cs="Times New Roman"/>
          <w:sz w:val="24"/>
          <w:szCs w:val="24"/>
        </w:rPr>
        <w:t xml:space="preserve"> et al., 2008). Particularly promising results have been obtained with plants from the families </w:t>
      </w:r>
      <w:proofErr w:type="spellStart"/>
      <w:r w:rsidRPr="00B14CCC">
        <w:rPr>
          <w:rFonts w:ascii="Times New Roman" w:eastAsia="Times New Roman" w:hAnsi="Times New Roman" w:cs="Times New Roman"/>
          <w:sz w:val="24"/>
          <w:szCs w:val="24"/>
        </w:rPr>
        <w:t>Lamiaceae</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Asteraceae</w:t>
      </w:r>
      <w:proofErr w:type="spellEnd"/>
      <w:r w:rsidRPr="00B14CCC">
        <w:rPr>
          <w:rFonts w:ascii="Times New Roman" w:eastAsia="Times New Roman" w:hAnsi="Times New Roman" w:cs="Times New Roman"/>
          <w:sz w:val="24"/>
          <w:szCs w:val="24"/>
        </w:rPr>
        <w:t xml:space="preserve">, and </w:t>
      </w:r>
      <w:proofErr w:type="spellStart"/>
      <w:r w:rsidRPr="00B14CCC">
        <w:rPr>
          <w:rFonts w:ascii="Times New Roman" w:eastAsia="Times New Roman" w:hAnsi="Times New Roman" w:cs="Times New Roman"/>
          <w:sz w:val="24"/>
          <w:szCs w:val="24"/>
        </w:rPr>
        <w:t>Myrtaceae</w:t>
      </w:r>
      <w:proofErr w:type="spellEnd"/>
      <w:r w:rsidRPr="00B14CCC">
        <w:rPr>
          <w:rFonts w:ascii="Times New Roman" w:eastAsia="Times New Roman" w:hAnsi="Times New Roman" w:cs="Times New Roman"/>
          <w:sz w:val="24"/>
          <w:szCs w:val="24"/>
        </w:rPr>
        <w:t xml:space="preserve">, which are rich in essential oils and phenolic compounds. These findings suggest potential for developing new </w:t>
      </w:r>
      <w:r w:rsidRPr="00B14CCC">
        <w:rPr>
          <w:rFonts w:ascii="Times New Roman" w:eastAsia="Times New Roman" w:hAnsi="Times New Roman" w:cs="Times New Roman"/>
          <w:sz w:val="24"/>
          <w:szCs w:val="24"/>
        </w:rPr>
        <w:lastRenderedPageBreak/>
        <w:t>antimicrobial agents or adjunctive therapies to enhance effectiveness of conventional antibiotics.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Antifungal properties have been documented for numerous medicinal plants traditionally used for treating fungal infections, including </w:t>
      </w:r>
      <w:proofErr w:type="spellStart"/>
      <w:r w:rsidRPr="00B14CCC">
        <w:rPr>
          <w:rFonts w:ascii="Times New Roman" w:eastAsia="Times New Roman" w:hAnsi="Times New Roman" w:cs="Times New Roman"/>
          <w:sz w:val="24"/>
          <w:szCs w:val="24"/>
        </w:rPr>
        <w:t>dermatophytoses</w:t>
      </w:r>
      <w:proofErr w:type="spellEnd"/>
      <w:r w:rsidRPr="00B14CCC">
        <w:rPr>
          <w:rFonts w:ascii="Times New Roman" w:eastAsia="Times New Roman" w:hAnsi="Times New Roman" w:cs="Times New Roman"/>
          <w:sz w:val="24"/>
          <w:szCs w:val="24"/>
        </w:rPr>
        <w:t xml:space="preserve">, candidiasis, and systemic mycoses. Essential oils containing compounds such as </w:t>
      </w:r>
      <w:proofErr w:type="spellStart"/>
      <w:r w:rsidRPr="00B14CCC">
        <w:rPr>
          <w:rFonts w:ascii="Times New Roman" w:eastAsia="Times New Roman" w:hAnsi="Times New Roman" w:cs="Times New Roman"/>
          <w:sz w:val="24"/>
          <w:szCs w:val="24"/>
        </w:rPr>
        <w:t>thymol</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carvacrol</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eugenol</w:t>
      </w:r>
      <w:proofErr w:type="spellEnd"/>
      <w:r w:rsidRPr="00B14CCC">
        <w:rPr>
          <w:rFonts w:ascii="Times New Roman" w:eastAsia="Times New Roman" w:hAnsi="Times New Roman" w:cs="Times New Roman"/>
          <w:sz w:val="24"/>
          <w:szCs w:val="24"/>
        </w:rPr>
        <w:t xml:space="preserve">, and </w:t>
      </w:r>
      <w:proofErr w:type="spellStart"/>
      <w:r w:rsidRPr="00B14CCC">
        <w:rPr>
          <w:rFonts w:ascii="Times New Roman" w:eastAsia="Times New Roman" w:hAnsi="Times New Roman" w:cs="Times New Roman"/>
          <w:sz w:val="24"/>
          <w:szCs w:val="24"/>
        </w:rPr>
        <w:t>cinnamaldehyde</w:t>
      </w:r>
      <w:proofErr w:type="spellEnd"/>
      <w:r w:rsidRPr="00B14CCC">
        <w:rPr>
          <w:rFonts w:ascii="Times New Roman" w:eastAsia="Times New Roman" w:hAnsi="Times New Roman" w:cs="Times New Roman"/>
          <w:sz w:val="24"/>
          <w:szCs w:val="24"/>
        </w:rPr>
        <w:t xml:space="preserve"> demonstrate potent antifungal activities through mechanisms including </w:t>
      </w:r>
      <w:proofErr w:type="spellStart"/>
      <w:r w:rsidRPr="00B14CCC">
        <w:rPr>
          <w:rFonts w:ascii="Times New Roman" w:eastAsia="Times New Roman" w:hAnsi="Times New Roman" w:cs="Times New Roman"/>
          <w:sz w:val="24"/>
          <w:szCs w:val="24"/>
        </w:rPr>
        <w:t>ergosterol</w:t>
      </w:r>
      <w:proofErr w:type="spellEnd"/>
      <w:r w:rsidRPr="00B14CCC">
        <w:rPr>
          <w:rFonts w:ascii="Times New Roman" w:eastAsia="Times New Roman" w:hAnsi="Times New Roman" w:cs="Times New Roman"/>
          <w:sz w:val="24"/>
          <w:szCs w:val="24"/>
        </w:rPr>
        <w:t xml:space="preserve"> binding, inhibition of </w:t>
      </w:r>
      <w:proofErr w:type="spellStart"/>
      <w:r w:rsidRPr="00B14CCC">
        <w:rPr>
          <w:rFonts w:ascii="Times New Roman" w:eastAsia="Times New Roman" w:hAnsi="Times New Roman" w:cs="Times New Roman"/>
          <w:sz w:val="24"/>
          <w:szCs w:val="24"/>
        </w:rPr>
        <w:t>ergosterol</w:t>
      </w:r>
      <w:proofErr w:type="spellEnd"/>
      <w:r w:rsidRPr="00B14CCC">
        <w:rPr>
          <w:rFonts w:ascii="Times New Roman" w:eastAsia="Times New Roman" w:hAnsi="Times New Roman" w:cs="Times New Roman"/>
          <w:sz w:val="24"/>
          <w:szCs w:val="24"/>
        </w:rPr>
        <w:t xml:space="preserve"> biosynthesis, and disruption of fungal cell membranes (</w:t>
      </w:r>
      <w:proofErr w:type="spellStart"/>
      <w:r w:rsidRPr="00B14CCC">
        <w:rPr>
          <w:rFonts w:ascii="Times New Roman" w:eastAsia="Times New Roman" w:hAnsi="Times New Roman" w:cs="Times New Roman"/>
          <w:sz w:val="24"/>
          <w:szCs w:val="24"/>
        </w:rPr>
        <w:t>Wińska</w:t>
      </w:r>
      <w:proofErr w:type="spellEnd"/>
      <w:r w:rsidRPr="00B14CCC">
        <w:rPr>
          <w:rFonts w:ascii="Times New Roman" w:eastAsia="Times New Roman" w:hAnsi="Times New Roman" w:cs="Times New Roman"/>
          <w:sz w:val="24"/>
          <w:szCs w:val="24"/>
        </w:rPr>
        <w:t xml:space="preserve"> et al., 2019). Studies have shown that tea tree oil (</w:t>
      </w:r>
      <w:proofErr w:type="spellStart"/>
      <w:r w:rsidRPr="00B14CCC">
        <w:rPr>
          <w:rFonts w:ascii="Times New Roman" w:eastAsia="Times New Roman" w:hAnsi="Times New Roman" w:cs="Times New Roman"/>
          <w:i/>
          <w:iCs/>
          <w:sz w:val="24"/>
          <w:szCs w:val="24"/>
        </w:rPr>
        <w:t>Melaleuca</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alternifolia</w:t>
      </w:r>
      <w:proofErr w:type="spellEnd"/>
      <w:r w:rsidRPr="00B14CCC">
        <w:rPr>
          <w:rFonts w:ascii="Times New Roman" w:eastAsia="Times New Roman" w:hAnsi="Times New Roman" w:cs="Times New Roman"/>
          <w:sz w:val="24"/>
          <w:szCs w:val="24"/>
        </w:rPr>
        <w:t xml:space="preserve">), traditionally used by Australian Aboriginal peoples, exhibits broad-spectrum antifungal activity and has been successfully developed into topical treatments for </w:t>
      </w:r>
      <w:proofErr w:type="spellStart"/>
      <w:r w:rsidRPr="00B14CCC">
        <w:rPr>
          <w:rFonts w:ascii="Times New Roman" w:eastAsia="Times New Roman" w:hAnsi="Times New Roman" w:cs="Times New Roman"/>
          <w:sz w:val="24"/>
          <w:szCs w:val="24"/>
        </w:rPr>
        <w:t>onychomycosis</w:t>
      </w:r>
      <w:proofErr w:type="spellEnd"/>
      <w:r w:rsidRPr="00B14CCC">
        <w:rPr>
          <w:rFonts w:ascii="Times New Roman" w:eastAsia="Times New Roman" w:hAnsi="Times New Roman" w:cs="Times New Roman"/>
          <w:sz w:val="24"/>
          <w:szCs w:val="24"/>
        </w:rPr>
        <w:t xml:space="preserve"> and other fungal infections. Similarly, garlic (</w:t>
      </w:r>
      <w:r w:rsidRPr="00B14CCC">
        <w:rPr>
          <w:rFonts w:ascii="Times New Roman" w:eastAsia="Times New Roman" w:hAnsi="Times New Roman" w:cs="Times New Roman"/>
          <w:i/>
          <w:iCs/>
          <w:sz w:val="24"/>
          <w:szCs w:val="24"/>
        </w:rPr>
        <w:t xml:space="preserve">Allium </w:t>
      </w:r>
      <w:proofErr w:type="spellStart"/>
      <w:r w:rsidRPr="00B14CCC">
        <w:rPr>
          <w:rFonts w:ascii="Times New Roman" w:eastAsia="Times New Roman" w:hAnsi="Times New Roman" w:cs="Times New Roman"/>
          <w:i/>
          <w:iCs/>
          <w:sz w:val="24"/>
          <w:szCs w:val="24"/>
        </w:rPr>
        <w:t>sativum</w:t>
      </w:r>
      <w:proofErr w:type="spellEnd"/>
      <w:r w:rsidRPr="00B14CCC">
        <w:rPr>
          <w:rFonts w:ascii="Times New Roman" w:eastAsia="Times New Roman" w:hAnsi="Times New Roman" w:cs="Times New Roman"/>
          <w:sz w:val="24"/>
          <w:szCs w:val="24"/>
        </w:rPr>
        <w:t xml:space="preserve">) and its </w:t>
      </w:r>
      <w:proofErr w:type="spellStart"/>
      <w:r w:rsidRPr="00B14CCC">
        <w:rPr>
          <w:rFonts w:ascii="Times New Roman" w:eastAsia="Times New Roman" w:hAnsi="Times New Roman" w:cs="Times New Roman"/>
          <w:sz w:val="24"/>
          <w:szCs w:val="24"/>
        </w:rPr>
        <w:t>organosulfur</w:t>
      </w:r>
      <w:proofErr w:type="spellEnd"/>
      <w:r w:rsidRPr="00B14CCC">
        <w:rPr>
          <w:rFonts w:ascii="Times New Roman" w:eastAsia="Times New Roman" w:hAnsi="Times New Roman" w:cs="Times New Roman"/>
          <w:sz w:val="24"/>
          <w:szCs w:val="24"/>
        </w:rPr>
        <w:t xml:space="preserve"> compounds demonstrate significant antifungal properties, supporting traditional applications for treating oral and vaginal candidiasis.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Antiviral activities represent another important dimension of medicinal plant antimicrobial properties, with numerous plants demonstrating activity against various viral pathogens. Mechanisms include direct </w:t>
      </w:r>
      <w:proofErr w:type="spellStart"/>
      <w:r w:rsidRPr="00B14CCC">
        <w:rPr>
          <w:rFonts w:ascii="Times New Roman" w:eastAsia="Times New Roman" w:hAnsi="Times New Roman" w:cs="Times New Roman"/>
          <w:sz w:val="24"/>
          <w:szCs w:val="24"/>
        </w:rPr>
        <w:t>virucidal</w:t>
      </w:r>
      <w:proofErr w:type="spellEnd"/>
      <w:r w:rsidRPr="00B14CCC">
        <w:rPr>
          <w:rFonts w:ascii="Times New Roman" w:eastAsia="Times New Roman" w:hAnsi="Times New Roman" w:cs="Times New Roman"/>
          <w:sz w:val="24"/>
          <w:szCs w:val="24"/>
        </w:rPr>
        <w:t xml:space="preserve"> effects, inhibition of viral attachment and entry into host cells, interference with viral replication, and enhancement of host antiviral immune responses (</w:t>
      </w:r>
      <w:proofErr w:type="spellStart"/>
      <w:r w:rsidRPr="00B14CCC">
        <w:rPr>
          <w:rFonts w:ascii="Times New Roman" w:eastAsia="Times New Roman" w:hAnsi="Times New Roman" w:cs="Times New Roman"/>
          <w:sz w:val="24"/>
          <w:szCs w:val="24"/>
        </w:rPr>
        <w:t>Akram</w:t>
      </w:r>
      <w:proofErr w:type="spellEnd"/>
      <w:r w:rsidRPr="00B14CCC">
        <w:rPr>
          <w:rFonts w:ascii="Times New Roman" w:eastAsia="Times New Roman" w:hAnsi="Times New Roman" w:cs="Times New Roman"/>
          <w:sz w:val="24"/>
          <w:szCs w:val="24"/>
        </w:rPr>
        <w:t xml:space="preserve"> et al., 2018). Licorice (</w:t>
      </w:r>
      <w:proofErr w:type="spellStart"/>
      <w:r w:rsidRPr="00B14CCC">
        <w:rPr>
          <w:rFonts w:ascii="Times New Roman" w:eastAsia="Times New Roman" w:hAnsi="Times New Roman" w:cs="Times New Roman"/>
          <w:i/>
          <w:iCs/>
          <w:sz w:val="24"/>
          <w:szCs w:val="24"/>
        </w:rPr>
        <w:t>Glycyrrhiza</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glabra</w:t>
      </w:r>
      <w:proofErr w:type="spellEnd"/>
      <w:r w:rsidRPr="00B14CCC">
        <w:rPr>
          <w:rFonts w:ascii="Times New Roman" w:eastAsia="Times New Roman" w:hAnsi="Times New Roman" w:cs="Times New Roman"/>
          <w:sz w:val="24"/>
          <w:szCs w:val="24"/>
        </w:rPr>
        <w:t>) and its constituent glycyrrhizin exhibit antiviral activity against several viruses, including hepatitis viruses, influenza viruses, and severe acute respiratory syndrome coronavirus (SARS-</w:t>
      </w:r>
      <w:proofErr w:type="spellStart"/>
      <w:r w:rsidRPr="00B14CCC">
        <w:rPr>
          <w:rFonts w:ascii="Times New Roman" w:eastAsia="Times New Roman" w:hAnsi="Times New Roman" w:cs="Times New Roman"/>
          <w:sz w:val="24"/>
          <w:szCs w:val="24"/>
        </w:rPr>
        <w:t>CoV</w:t>
      </w:r>
      <w:proofErr w:type="spellEnd"/>
      <w:r w:rsidRPr="00B14CCC">
        <w:rPr>
          <w:rFonts w:ascii="Times New Roman" w:eastAsia="Times New Roman" w:hAnsi="Times New Roman" w:cs="Times New Roman"/>
          <w:sz w:val="24"/>
          <w:szCs w:val="24"/>
        </w:rPr>
        <w:t>). Elderberry (</w:t>
      </w:r>
      <w:proofErr w:type="spellStart"/>
      <w:r w:rsidRPr="00B14CCC">
        <w:rPr>
          <w:rFonts w:ascii="Times New Roman" w:eastAsia="Times New Roman" w:hAnsi="Times New Roman" w:cs="Times New Roman"/>
          <w:i/>
          <w:iCs/>
          <w:sz w:val="24"/>
          <w:szCs w:val="24"/>
        </w:rPr>
        <w:t>Sambucus</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nigra</w:t>
      </w:r>
      <w:proofErr w:type="spellEnd"/>
      <w:r w:rsidRPr="00B14CCC">
        <w:rPr>
          <w:rFonts w:ascii="Times New Roman" w:eastAsia="Times New Roman" w:hAnsi="Times New Roman" w:cs="Times New Roman"/>
          <w:sz w:val="24"/>
          <w:szCs w:val="24"/>
        </w:rPr>
        <w:t xml:space="preserve">), traditionally used in European folk medicine for treating respiratory infections, has demonstrated clinical efficacy in reducing duration and severity of influenza symptoms, with in vitro studies revealing direct antiviral effects and </w:t>
      </w:r>
      <w:proofErr w:type="spellStart"/>
      <w:r w:rsidRPr="00B14CCC">
        <w:rPr>
          <w:rFonts w:ascii="Times New Roman" w:eastAsia="Times New Roman" w:hAnsi="Times New Roman" w:cs="Times New Roman"/>
          <w:sz w:val="24"/>
          <w:szCs w:val="24"/>
        </w:rPr>
        <w:t>immunomodulatory</w:t>
      </w:r>
      <w:proofErr w:type="spellEnd"/>
      <w:r w:rsidRPr="00B14CCC">
        <w:rPr>
          <w:rFonts w:ascii="Times New Roman" w:eastAsia="Times New Roman" w:hAnsi="Times New Roman" w:cs="Times New Roman"/>
          <w:sz w:val="24"/>
          <w:szCs w:val="24"/>
        </w:rPr>
        <w:t xml:space="preserve"> properties.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phenomenon of synergy between antimicrobial phytochemicals and conventional antibiotics has attracted considerable research interest as a potential strategy for combating antibiotic resistance. Studies have demonstrated that certain plant extracts and isolated compounds can enhance the activity of antibiotics against resistant bacteria, either through direct antimicrobial effects or by inhibiting resistance mechanisms such as efflux pumps and β-lactamases (Bernal et al., 2013). For example, </w:t>
      </w:r>
      <w:proofErr w:type="spellStart"/>
      <w:r w:rsidRPr="00B14CCC">
        <w:rPr>
          <w:rFonts w:ascii="Times New Roman" w:eastAsia="Times New Roman" w:hAnsi="Times New Roman" w:cs="Times New Roman"/>
          <w:sz w:val="24"/>
          <w:szCs w:val="24"/>
        </w:rPr>
        <w:t>berberine</w:t>
      </w:r>
      <w:proofErr w:type="spellEnd"/>
      <w:r w:rsidRPr="00B14CCC">
        <w:rPr>
          <w:rFonts w:ascii="Times New Roman" w:eastAsia="Times New Roman" w:hAnsi="Times New Roman" w:cs="Times New Roman"/>
          <w:sz w:val="24"/>
          <w:szCs w:val="24"/>
        </w:rPr>
        <w:t>, an alkaloid found in several medicinal plants including goldenseal (</w:t>
      </w:r>
      <w:proofErr w:type="spellStart"/>
      <w:r w:rsidRPr="00B14CCC">
        <w:rPr>
          <w:rFonts w:ascii="Times New Roman" w:eastAsia="Times New Roman" w:hAnsi="Times New Roman" w:cs="Times New Roman"/>
          <w:i/>
          <w:iCs/>
          <w:sz w:val="24"/>
          <w:szCs w:val="24"/>
        </w:rPr>
        <w:t>Hydrastis</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canadensis</w:t>
      </w:r>
      <w:proofErr w:type="spellEnd"/>
      <w:r w:rsidRPr="00B14CCC">
        <w:rPr>
          <w:rFonts w:ascii="Times New Roman" w:eastAsia="Times New Roman" w:hAnsi="Times New Roman" w:cs="Times New Roman"/>
          <w:sz w:val="24"/>
          <w:szCs w:val="24"/>
        </w:rPr>
        <w:t>) and barberry (</w:t>
      </w:r>
      <w:proofErr w:type="spellStart"/>
      <w:r w:rsidRPr="00B14CCC">
        <w:rPr>
          <w:rFonts w:ascii="Times New Roman" w:eastAsia="Times New Roman" w:hAnsi="Times New Roman" w:cs="Times New Roman"/>
          <w:i/>
          <w:iCs/>
          <w:sz w:val="24"/>
          <w:szCs w:val="24"/>
        </w:rPr>
        <w:t>Berberis</w:t>
      </w:r>
      <w:proofErr w:type="spellEnd"/>
      <w:r w:rsidRPr="00B14CCC">
        <w:rPr>
          <w:rFonts w:ascii="Times New Roman" w:eastAsia="Times New Roman" w:hAnsi="Times New Roman" w:cs="Times New Roman"/>
          <w:i/>
          <w:iCs/>
          <w:sz w:val="24"/>
          <w:szCs w:val="24"/>
        </w:rPr>
        <w:t xml:space="preserve"> vulgaris</w:t>
      </w:r>
      <w:r w:rsidRPr="00B14CCC">
        <w:rPr>
          <w:rFonts w:ascii="Times New Roman" w:eastAsia="Times New Roman" w:hAnsi="Times New Roman" w:cs="Times New Roman"/>
          <w:sz w:val="24"/>
          <w:szCs w:val="24"/>
        </w:rPr>
        <w:t>), inhibits bacterial efflux pumps, thereby potentiating antibiotic activity against multidrug-resistant bacteria. These findings suggest potential for developing combination therapies that leverage both conventional antibiotics and antimicrobial phytochemicals to improve treatment outcomes and slow resistance development.</w:t>
      </w:r>
    </w:p>
    <w:p w:rsidR="000216FD" w:rsidRPr="00B14CCC" w:rsidRDefault="000216FD"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 xml:space="preserve">6.2 Anti-inflammatory and </w:t>
      </w:r>
      <w:proofErr w:type="spellStart"/>
      <w:r w:rsidRPr="00B14CCC">
        <w:rPr>
          <w:rFonts w:ascii="Times New Roman" w:eastAsia="Times New Roman" w:hAnsi="Times New Roman" w:cs="Times New Roman"/>
          <w:b/>
          <w:bCs/>
          <w:sz w:val="24"/>
          <w:szCs w:val="24"/>
        </w:rPr>
        <w:t>Immunomodulatory</w:t>
      </w:r>
      <w:proofErr w:type="spellEnd"/>
      <w:r w:rsidRPr="00B14CCC">
        <w:rPr>
          <w:rFonts w:ascii="Times New Roman" w:eastAsia="Times New Roman" w:hAnsi="Times New Roman" w:cs="Times New Roman"/>
          <w:b/>
          <w:bCs/>
          <w:sz w:val="24"/>
          <w:szCs w:val="24"/>
        </w:rPr>
        <w:t xml:space="preserve"> Effects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Inflammation represents a fundamental biological response to injury, infection, and tissue damage, yet chronic inflammation contributes to pathogenesis of numerous diseases including cardiovascular disease, cancer, diabetes, neurodegenerative disorders, and autoimmune conditions. Indigenous medical systems have long recognized inflammatory processes, though not necessarily using contemporary terminology, and have developed </w:t>
      </w:r>
      <w:r w:rsidRPr="00B14CCC">
        <w:rPr>
          <w:rFonts w:ascii="Times New Roman" w:eastAsia="Times New Roman" w:hAnsi="Times New Roman" w:cs="Times New Roman"/>
          <w:sz w:val="24"/>
          <w:szCs w:val="24"/>
        </w:rPr>
        <w:lastRenderedPageBreak/>
        <w:t>sophisticated treatment approaches utilizing anti-inflammatory medicinal plants (</w:t>
      </w:r>
      <w:proofErr w:type="spellStart"/>
      <w:r w:rsidRPr="00B14CCC">
        <w:rPr>
          <w:rFonts w:ascii="Times New Roman" w:eastAsia="Times New Roman" w:hAnsi="Times New Roman" w:cs="Times New Roman"/>
          <w:sz w:val="24"/>
          <w:szCs w:val="24"/>
        </w:rPr>
        <w:t>Gautam</w:t>
      </w:r>
      <w:proofErr w:type="spellEnd"/>
      <w:r w:rsidRPr="00B14CCC">
        <w:rPr>
          <w:rFonts w:ascii="Times New Roman" w:eastAsia="Times New Roman" w:hAnsi="Times New Roman" w:cs="Times New Roman"/>
          <w:sz w:val="24"/>
          <w:szCs w:val="24"/>
        </w:rPr>
        <w:t xml:space="preserve"> et al., 2014). Modern scientific investigation has validated anti-inflammatory properties for numerous traditionally used plants while elucidating molecular mechanisms and identifying specific bioactive constituents responsible for these effects.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Plant-derived anti-inflammatory compounds modulate inflammation through diverse mechanisms, including inhibition of pro-inflammatory enzyme systems (cyclooxygenase, </w:t>
      </w:r>
      <w:proofErr w:type="spellStart"/>
      <w:r w:rsidRPr="00B14CCC">
        <w:rPr>
          <w:rFonts w:ascii="Times New Roman" w:eastAsia="Times New Roman" w:hAnsi="Times New Roman" w:cs="Times New Roman"/>
          <w:sz w:val="24"/>
          <w:szCs w:val="24"/>
        </w:rPr>
        <w:t>lipoxygenase</w:t>
      </w:r>
      <w:proofErr w:type="spellEnd"/>
      <w:r w:rsidRPr="00B14CCC">
        <w:rPr>
          <w:rFonts w:ascii="Times New Roman" w:eastAsia="Times New Roman" w:hAnsi="Times New Roman" w:cs="Times New Roman"/>
          <w:sz w:val="24"/>
          <w:szCs w:val="24"/>
        </w:rPr>
        <w:t>, phospholipase A2), suppression of pro-inflammatory cytokine production (TNF-α, IL-1β, IL-6), inhibition of transcription factors regulating inflammatory gene expression (NF-</w:t>
      </w:r>
      <w:proofErr w:type="spellStart"/>
      <w:r w:rsidRPr="00B14CCC">
        <w:rPr>
          <w:rFonts w:ascii="Times New Roman" w:eastAsia="Times New Roman" w:hAnsi="Times New Roman" w:cs="Times New Roman"/>
          <w:sz w:val="24"/>
          <w:szCs w:val="24"/>
        </w:rPr>
        <w:t>κB</w:t>
      </w:r>
      <w:proofErr w:type="spellEnd"/>
      <w:r w:rsidRPr="00B14CCC">
        <w:rPr>
          <w:rFonts w:ascii="Times New Roman" w:eastAsia="Times New Roman" w:hAnsi="Times New Roman" w:cs="Times New Roman"/>
          <w:sz w:val="24"/>
          <w:szCs w:val="24"/>
        </w:rPr>
        <w:t>, AP-1), modulation of inflammatory signaling pathways (MAPK, JAK-STAT), and enhancement of endogenous anti-inflammatory mechanisms (</w:t>
      </w:r>
      <w:proofErr w:type="spellStart"/>
      <w:r w:rsidRPr="00B14CCC">
        <w:rPr>
          <w:rFonts w:ascii="Times New Roman" w:eastAsia="Times New Roman" w:hAnsi="Times New Roman" w:cs="Times New Roman"/>
          <w:sz w:val="24"/>
          <w:szCs w:val="24"/>
        </w:rPr>
        <w:t>Chouhan</w:t>
      </w:r>
      <w:proofErr w:type="spellEnd"/>
      <w:r w:rsidRPr="00B14CCC">
        <w:rPr>
          <w:rFonts w:ascii="Times New Roman" w:eastAsia="Times New Roman" w:hAnsi="Times New Roman" w:cs="Times New Roman"/>
          <w:sz w:val="24"/>
          <w:szCs w:val="24"/>
        </w:rPr>
        <w:t xml:space="preserve"> et al., 2017). Different classes of phytochemicals exhibit distinct anti-inflammatory mechanisms, with some compounds affecting multiple pathways simultaneously. This multi-targeted activity may provide advantages over conventional single-target anti-inflammatory drugs by providing more comprehensive inflammation control with potentially fewer adverse effects.</w:t>
      </w:r>
    </w:p>
    <w:p w:rsidR="000216FD" w:rsidRPr="00B14CCC" w:rsidRDefault="000216FD"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sz w:val="24"/>
          <w:szCs w:val="24"/>
        </w:rPr>
        <w:t>Curcumin</w:t>
      </w:r>
      <w:proofErr w:type="spellEnd"/>
      <w:r w:rsidRPr="00B14CCC">
        <w:rPr>
          <w:rFonts w:ascii="Times New Roman" w:eastAsia="Times New Roman" w:hAnsi="Times New Roman" w:cs="Times New Roman"/>
          <w:sz w:val="24"/>
          <w:szCs w:val="24"/>
        </w:rPr>
        <w:t xml:space="preserve">, discussed previously in the context of turmeric, represents one of the most extensively studied anti-inflammatory phytochemicals, with demonstrated activity against virtually all major inflammatory pathways. Clinical trials have shown </w:t>
      </w:r>
      <w:proofErr w:type="spellStart"/>
      <w:r w:rsidRPr="00B14CCC">
        <w:rPr>
          <w:rFonts w:ascii="Times New Roman" w:eastAsia="Times New Roman" w:hAnsi="Times New Roman" w:cs="Times New Roman"/>
          <w:sz w:val="24"/>
          <w:szCs w:val="24"/>
        </w:rPr>
        <w:t>curcumin's</w:t>
      </w:r>
      <w:proofErr w:type="spellEnd"/>
      <w:r w:rsidRPr="00B14CCC">
        <w:rPr>
          <w:rFonts w:ascii="Times New Roman" w:eastAsia="Times New Roman" w:hAnsi="Times New Roman" w:cs="Times New Roman"/>
          <w:sz w:val="24"/>
          <w:szCs w:val="24"/>
        </w:rPr>
        <w:t xml:space="preserve"> efficacy in treating various inflammatory conditions, including osteoarthritis, rheumatoid arthritis, inflammatory bowel disease, and psoriasis, with safety profiles generally superior to non-steroidal anti-inflammatory drugs (NSAIDs) (</w:t>
      </w:r>
      <w:proofErr w:type="spellStart"/>
      <w:r w:rsidRPr="00B14CCC">
        <w:rPr>
          <w:rFonts w:ascii="Times New Roman" w:eastAsia="Times New Roman" w:hAnsi="Times New Roman" w:cs="Times New Roman"/>
          <w:sz w:val="24"/>
          <w:szCs w:val="24"/>
        </w:rPr>
        <w:t>Chainani</w:t>
      </w:r>
      <w:proofErr w:type="spellEnd"/>
      <w:r w:rsidRPr="00B14CCC">
        <w:rPr>
          <w:rFonts w:ascii="Times New Roman" w:eastAsia="Times New Roman" w:hAnsi="Times New Roman" w:cs="Times New Roman"/>
          <w:sz w:val="24"/>
          <w:szCs w:val="24"/>
        </w:rPr>
        <w:t xml:space="preserve">-Wu, 2003). Similarly, </w:t>
      </w:r>
      <w:proofErr w:type="spellStart"/>
      <w:r w:rsidRPr="00B14CCC">
        <w:rPr>
          <w:rFonts w:ascii="Times New Roman" w:eastAsia="Times New Roman" w:hAnsi="Times New Roman" w:cs="Times New Roman"/>
          <w:sz w:val="24"/>
          <w:szCs w:val="24"/>
        </w:rPr>
        <w:t>boswellic</w:t>
      </w:r>
      <w:proofErr w:type="spellEnd"/>
      <w:r w:rsidRPr="00B14CCC">
        <w:rPr>
          <w:rFonts w:ascii="Times New Roman" w:eastAsia="Times New Roman" w:hAnsi="Times New Roman" w:cs="Times New Roman"/>
          <w:sz w:val="24"/>
          <w:szCs w:val="24"/>
        </w:rPr>
        <w:t xml:space="preserve"> acids from frankincense (</w:t>
      </w:r>
      <w:proofErr w:type="spellStart"/>
      <w:r w:rsidRPr="00B14CCC">
        <w:rPr>
          <w:rFonts w:ascii="Times New Roman" w:eastAsia="Times New Roman" w:hAnsi="Times New Roman" w:cs="Times New Roman"/>
          <w:i/>
          <w:iCs/>
          <w:sz w:val="24"/>
          <w:szCs w:val="24"/>
        </w:rPr>
        <w:t>Boswellia</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serrata</w:t>
      </w:r>
      <w:proofErr w:type="spellEnd"/>
      <w:r w:rsidRPr="00B14CCC">
        <w:rPr>
          <w:rFonts w:ascii="Times New Roman" w:eastAsia="Times New Roman" w:hAnsi="Times New Roman" w:cs="Times New Roman"/>
          <w:sz w:val="24"/>
          <w:szCs w:val="24"/>
        </w:rPr>
        <w:t xml:space="preserve">), traditionally used in </w:t>
      </w:r>
      <w:proofErr w:type="spellStart"/>
      <w:r w:rsidRPr="00B14CCC">
        <w:rPr>
          <w:rFonts w:ascii="Times New Roman" w:eastAsia="Times New Roman" w:hAnsi="Times New Roman" w:cs="Times New Roman"/>
          <w:sz w:val="24"/>
          <w:szCs w:val="24"/>
        </w:rPr>
        <w:t>Ayurvedic</w:t>
      </w:r>
      <w:proofErr w:type="spellEnd"/>
      <w:r w:rsidRPr="00B14CCC">
        <w:rPr>
          <w:rFonts w:ascii="Times New Roman" w:eastAsia="Times New Roman" w:hAnsi="Times New Roman" w:cs="Times New Roman"/>
          <w:sz w:val="24"/>
          <w:szCs w:val="24"/>
        </w:rPr>
        <w:t xml:space="preserve"> medicine for treating inflammatory conditions, inhibit 5-lipoxygenase and exhibit clinical efficacy in osteoarthritis and inflammatory bowel disease. Ginger (</w:t>
      </w:r>
      <w:proofErr w:type="spellStart"/>
      <w:r w:rsidRPr="00B14CCC">
        <w:rPr>
          <w:rFonts w:ascii="Times New Roman" w:eastAsia="Times New Roman" w:hAnsi="Times New Roman" w:cs="Times New Roman"/>
          <w:i/>
          <w:iCs/>
          <w:sz w:val="24"/>
          <w:szCs w:val="24"/>
        </w:rPr>
        <w:t>Zingiber</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officinale</w:t>
      </w:r>
      <w:proofErr w:type="spellEnd"/>
      <w:r w:rsidRPr="00B14CCC">
        <w:rPr>
          <w:rFonts w:ascii="Times New Roman" w:eastAsia="Times New Roman" w:hAnsi="Times New Roman" w:cs="Times New Roman"/>
          <w:sz w:val="24"/>
          <w:szCs w:val="24"/>
        </w:rPr>
        <w:t xml:space="preserve">), used across numerous traditional medical systems for inflammatory conditions, contains </w:t>
      </w:r>
      <w:proofErr w:type="spellStart"/>
      <w:r w:rsidRPr="00B14CCC">
        <w:rPr>
          <w:rFonts w:ascii="Times New Roman" w:eastAsia="Times New Roman" w:hAnsi="Times New Roman" w:cs="Times New Roman"/>
          <w:sz w:val="24"/>
          <w:szCs w:val="24"/>
        </w:rPr>
        <w:t>gingerols</w:t>
      </w:r>
      <w:proofErr w:type="spellEnd"/>
      <w:r w:rsidRPr="00B14CCC">
        <w:rPr>
          <w:rFonts w:ascii="Times New Roman" w:eastAsia="Times New Roman" w:hAnsi="Times New Roman" w:cs="Times New Roman"/>
          <w:sz w:val="24"/>
          <w:szCs w:val="24"/>
        </w:rPr>
        <w:t xml:space="preserve"> and </w:t>
      </w:r>
      <w:proofErr w:type="spellStart"/>
      <w:r w:rsidRPr="00B14CCC">
        <w:rPr>
          <w:rFonts w:ascii="Times New Roman" w:eastAsia="Times New Roman" w:hAnsi="Times New Roman" w:cs="Times New Roman"/>
          <w:sz w:val="24"/>
          <w:szCs w:val="24"/>
        </w:rPr>
        <w:t>shogaols</w:t>
      </w:r>
      <w:proofErr w:type="spellEnd"/>
      <w:r w:rsidRPr="00B14CCC">
        <w:rPr>
          <w:rFonts w:ascii="Times New Roman" w:eastAsia="Times New Roman" w:hAnsi="Times New Roman" w:cs="Times New Roman"/>
          <w:sz w:val="24"/>
          <w:szCs w:val="24"/>
        </w:rPr>
        <w:t xml:space="preserve"> that suppress inflammatory mediator production and demonstrate clinical benefits in osteoarthritis and other inflammatory conditions.</w:t>
      </w:r>
    </w:p>
    <w:p w:rsidR="000216FD" w:rsidRPr="00B14CCC" w:rsidRDefault="000216FD"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sz w:val="24"/>
          <w:szCs w:val="24"/>
        </w:rPr>
        <w:t>Immunomodulatory</w:t>
      </w:r>
      <w:proofErr w:type="spellEnd"/>
      <w:r w:rsidRPr="00B14CCC">
        <w:rPr>
          <w:rFonts w:ascii="Times New Roman" w:eastAsia="Times New Roman" w:hAnsi="Times New Roman" w:cs="Times New Roman"/>
          <w:sz w:val="24"/>
          <w:szCs w:val="24"/>
        </w:rPr>
        <w:t xml:space="preserve"> properties of medicinal plants represent a closely related area of pharmacological activity, as immune system function and inflammatory responses are intimately connected. Many traditional medicinal plants exhibit </w:t>
      </w:r>
      <w:proofErr w:type="spellStart"/>
      <w:r w:rsidRPr="00B14CCC">
        <w:rPr>
          <w:rFonts w:ascii="Times New Roman" w:eastAsia="Times New Roman" w:hAnsi="Times New Roman" w:cs="Times New Roman"/>
          <w:sz w:val="24"/>
          <w:szCs w:val="24"/>
        </w:rPr>
        <w:t>immunomodulatory</w:t>
      </w:r>
      <w:proofErr w:type="spellEnd"/>
      <w:r w:rsidRPr="00B14CCC">
        <w:rPr>
          <w:rFonts w:ascii="Times New Roman" w:eastAsia="Times New Roman" w:hAnsi="Times New Roman" w:cs="Times New Roman"/>
          <w:sz w:val="24"/>
          <w:szCs w:val="24"/>
        </w:rPr>
        <w:t xml:space="preserve"> effects, either enhancing immune function (</w:t>
      </w:r>
      <w:proofErr w:type="spellStart"/>
      <w:r w:rsidRPr="00B14CCC">
        <w:rPr>
          <w:rFonts w:ascii="Times New Roman" w:eastAsia="Times New Roman" w:hAnsi="Times New Roman" w:cs="Times New Roman"/>
          <w:sz w:val="24"/>
          <w:szCs w:val="24"/>
        </w:rPr>
        <w:t>immunostimulation</w:t>
      </w:r>
      <w:proofErr w:type="spellEnd"/>
      <w:r w:rsidRPr="00B14CCC">
        <w:rPr>
          <w:rFonts w:ascii="Times New Roman" w:eastAsia="Times New Roman" w:hAnsi="Times New Roman" w:cs="Times New Roman"/>
          <w:sz w:val="24"/>
          <w:szCs w:val="24"/>
        </w:rPr>
        <w:t>) or suppressing excessive immune responses (immunosuppression), depending on the physiological context and the specific compounds involved (</w:t>
      </w:r>
      <w:proofErr w:type="spellStart"/>
      <w:r w:rsidRPr="00B14CCC">
        <w:rPr>
          <w:rFonts w:ascii="Times New Roman" w:eastAsia="Times New Roman" w:hAnsi="Times New Roman" w:cs="Times New Roman"/>
          <w:sz w:val="24"/>
          <w:szCs w:val="24"/>
        </w:rPr>
        <w:t>Borse</w:t>
      </w:r>
      <w:proofErr w:type="spellEnd"/>
      <w:r w:rsidRPr="00B14CCC">
        <w:rPr>
          <w:rFonts w:ascii="Times New Roman" w:eastAsia="Times New Roman" w:hAnsi="Times New Roman" w:cs="Times New Roman"/>
          <w:sz w:val="24"/>
          <w:szCs w:val="24"/>
        </w:rPr>
        <w:t xml:space="preserve"> et al., 2021). Polysaccharides from various medicinal mushrooms and plants demonstrate </w:t>
      </w:r>
      <w:proofErr w:type="spellStart"/>
      <w:r w:rsidRPr="00B14CCC">
        <w:rPr>
          <w:rFonts w:ascii="Times New Roman" w:eastAsia="Times New Roman" w:hAnsi="Times New Roman" w:cs="Times New Roman"/>
          <w:sz w:val="24"/>
          <w:szCs w:val="24"/>
        </w:rPr>
        <w:t>immunostimulatory</w:t>
      </w:r>
      <w:proofErr w:type="spellEnd"/>
      <w:r w:rsidRPr="00B14CCC">
        <w:rPr>
          <w:rFonts w:ascii="Times New Roman" w:eastAsia="Times New Roman" w:hAnsi="Times New Roman" w:cs="Times New Roman"/>
          <w:sz w:val="24"/>
          <w:szCs w:val="24"/>
        </w:rPr>
        <w:t xml:space="preserve"> effects by activating macrophages, enhancing natural killer cell activity, and stimulating cytokine production, supporting traditional use of these organisms for enhancing resistance to infections and diseases. Conversely, certain phytochemicals exhibit immunosuppressive properties useful for treating autoimmune disorders and allergic conditions.</w:t>
      </w:r>
    </w:p>
    <w:p w:rsidR="000216FD" w:rsidRPr="00B14CCC" w:rsidRDefault="000216FD"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sz w:val="24"/>
          <w:szCs w:val="24"/>
        </w:rPr>
        <w:t>Adaptogenic</w:t>
      </w:r>
      <w:proofErr w:type="spellEnd"/>
      <w:r w:rsidRPr="00B14CCC">
        <w:rPr>
          <w:rFonts w:ascii="Times New Roman" w:eastAsia="Times New Roman" w:hAnsi="Times New Roman" w:cs="Times New Roman"/>
          <w:sz w:val="24"/>
          <w:szCs w:val="24"/>
        </w:rPr>
        <w:t xml:space="preserve"> plants represent a unique category of medicinal plants that, according to traditional use and emerging scientific evidence, enhance the body's resistance to various stressors while normalizing physiological functions, effects that involve significant </w:t>
      </w:r>
      <w:proofErr w:type="spellStart"/>
      <w:r w:rsidRPr="00B14CCC">
        <w:rPr>
          <w:rFonts w:ascii="Times New Roman" w:eastAsia="Times New Roman" w:hAnsi="Times New Roman" w:cs="Times New Roman"/>
          <w:sz w:val="24"/>
          <w:szCs w:val="24"/>
        </w:rPr>
        <w:t>immunomodulatory</w:t>
      </w:r>
      <w:proofErr w:type="spellEnd"/>
      <w:r w:rsidRPr="00B14CCC">
        <w:rPr>
          <w:rFonts w:ascii="Times New Roman" w:eastAsia="Times New Roman" w:hAnsi="Times New Roman" w:cs="Times New Roman"/>
          <w:sz w:val="24"/>
          <w:szCs w:val="24"/>
        </w:rPr>
        <w:t xml:space="preserve"> and anti-inflammatory components. Plants such as Asian ginseng (</w:t>
      </w:r>
      <w:proofErr w:type="spellStart"/>
      <w:r w:rsidRPr="00B14CCC">
        <w:rPr>
          <w:rFonts w:ascii="Times New Roman" w:eastAsia="Times New Roman" w:hAnsi="Times New Roman" w:cs="Times New Roman"/>
          <w:i/>
          <w:iCs/>
          <w:sz w:val="24"/>
          <w:szCs w:val="24"/>
        </w:rPr>
        <w:t>Panax</w:t>
      </w:r>
      <w:proofErr w:type="spellEnd"/>
      <w:r w:rsidRPr="00B14CCC">
        <w:rPr>
          <w:rFonts w:ascii="Times New Roman" w:eastAsia="Times New Roman" w:hAnsi="Times New Roman" w:cs="Times New Roman"/>
          <w:i/>
          <w:iCs/>
          <w:sz w:val="24"/>
          <w:szCs w:val="24"/>
        </w:rPr>
        <w:t xml:space="preserve"> </w:t>
      </w:r>
      <w:r w:rsidRPr="00B14CCC">
        <w:rPr>
          <w:rFonts w:ascii="Times New Roman" w:eastAsia="Times New Roman" w:hAnsi="Times New Roman" w:cs="Times New Roman"/>
          <w:i/>
          <w:iCs/>
          <w:sz w:val="24"/>
          <w:szCs w:val="24"/>
        </w:rPr>
        <w:lastRenderedPageBreak/>
        <w:t>ginseng</w:t>
      </w:r>
      <w:r w:rsidRPr="00B14CCC">
        <w:rPr>
          <w:rFonts w:ascii="Times New Roman" w:eastAsia="Times New Roman" w:hAnsi="Times New Roman" w:cs="Times New Roman"/>
          <w:sz w:val="24"/>
          <w:szCs w:val="24"/>
        </w:rPr>
        <w:t>), Siberian ginseng (</w:t>
      </w:r>
      <w:proofErr w:type="spellStart"/>
      <w:r w:rsidRPr="00B14CCC">
        <w:rPr>
          <w:rFonts w:ascii="Times New Roman" w:eastAsia="Times New Roman" w:hAnsi="Times New Roman" w:cs="Times New Roman"/>
          <w:i/>
          <w:iCs/>
          <w:sz w:val="24"/>
          <w:szCs w:val="24"/>
        </w:rPr>
        <w:t>Eleutherococcus</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senticosus</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ashwagandha</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i/>
          <w:iCs/>
          <w:sz w:val="24"/>
          <w:szCs w:val="24"/>
        </w:rPr>
        <w:t>Withania</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somnifera</w:t>
      </w:r>
      <w:proofErr w:type="spellEnd"/>
      <w:r w:rsidRPr="00B14CCC">
        <w:rPr>
          <w:rFonts w:ascii="Times New Roman" w:eastAsia="Times New Roman" w:hAnsi="Times New Roman" w:cs="Times New Roman"/>
          <w:sz w:val="24"/>
          <w:szCs w:val="24"/>
        </w:rPr>
        <w:t xml:space="preserve">), and </w:t>
      </w:r>
      <w:proofErr w:type="spellStart"/>
      <w:r w:rsidRPr="00B14CCC">
        <w:rPr>
          <w:rFonts w:ascii="Times New Roman" w:eastAsia="Times New Roman" w:hAnsi="Times New Roman" w:cs="Times New Roman"/>
          <w:sz w:val="24"/>
          <w:szCs w:val="24"/>
        </w:rPr>
        <w:t>rhodiola</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i/>
          <w:iCs/>
          <w:sz w:val="24"/>
          <w:szCs w:val="24"/>
        </w:rPr>
        <w:t>Rhodiola</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rosea</w:t>
      </w:r>
      <w:proofErr w:type="spellEnd"/>
      <w:r w:rsidRPr="00B14CCC">
        <w:rPr>
          <w:rFonts w:ascii="Times New Roman" w:eastAsia="Times New Roman" w:hAnsi="Times New Roman" w:cs="Times New Roman"/>
          <w:sz w:val="24"/>
          <w:szCs w:val="24"/>
        </w:rPr>
        <w:t>) have been traditionally used in various medical systems for enhancing vitality, resistance to disease, and stress resilience (</w:t>
      </w:r>
      <w:proofErr w:type="spellStart"/>
      <w:r w:rsidRPr="00B14CCC">
        <w:rPr>
          <w:rFonts w:ascii="Times New Roman" w:eastAsia="Times New Roman" w:hAnsi="Times New Roman" w:cs="Times New Roman"/>
          <w:sz w:val="24"/>
          <w:szCs w:val="24"/>
        </w:rPr>
        <w:t>Panossian</w:t>
      </w:r>
      <w:proofErr w:type="spellEnd"/>
      <w:r w:rsidRPr="00B14CCC">
        <w:rPr>
          <w:rFonts w:ascii="Times New Roman" w:eastAsia="Times New Roman" w:hAnsi="Times New Roman" w:cs="Times New Roman"/>
          <w:sz w:val="24"/>
          <w:szCs w:val="24"/>
        </w:rPr>
        <w:t xml:space="preserve"> &amp; </w:t>
      </w:r>
      <w:proofErr w:type="spellStart"/>
      <w:r w:rsidRPr="00B14CCC">
        <w:rPr>
          <w:rFonts w:ascii="Times New Roman" w:eastAsia="Times New Roman" w:hAnsi="Times New Roman" w:cs="Times New Roman"/>
          <w:sz w:val="24"/>
          <w:szCs w:val="24"/>
        </w:rPr>
        <w:t>Wikman</w:t>
      </w:r>
      <w:proofErr w:type="spellEnd"/>
      <w:r w:rsidRPr="00B14CCC">
        <w:rPr>
          <w:rFonts w:ascii="Times New Roman" w:eastAsia="Times New Roman" w:hAnsi="Times New Roman" w:cs="Times New Roman"/>
          <w:sz w:val="24"/>
          <w:szCs w:val="24"/>
        </w:rPr>
        <w:t xml:space="preserve">, 2010). Contemporary research has revealed that these plants contain diverse bioactive compounds that modulate the hypothalamic-pituitary-adrenal axis, influence stress hormone levels, exhibit </w:t>
      </w:r>
      <w:proofErr w:type="spellStart"/>
      <w:r w:rsidRPr="00B14CCC">
        <w:rPr>
          <w:rFonts w:ascii="Times New Roman" w:eastAsia="Times New Roman" w:hAnsi="Times New Roman" w:cs="Times New Roman"/>
          <w:sz w:val="24"/>
          <w:szCs w:val="24"/>
        </w:rPr>
        <w:t>neuroprotective</w:t>
      </w:r>
      <w:proofErr w:type="spellEnd"/>
      <w:r w:rsidRPr="00B14CCC">
        <w:rPr>
          <w:rFonts w:ascii="Times New Roman" w:eastAsia="Times New Roman" w:hAnsi="Times New Roman" w:cs="Times New Roman"/>
          <w:sz w:val="24"/>
          <w:szCs w:val="24"/>
        </w:rPr>
        <w:t xml:space="preserve"> effects, and regulate immune function through complex mechanisms that remain incompletely understood.</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relationship between the gut </w:t>
      </w:r>
      <w:proofErr w:type="spellStart"/>
      <w:r w:rsidRPr="00B14CCC">
        <w:rPr>
          <w:rFonts w:ascii="Times New Roman" w:eastAsia="Times New Roman" w:hAnsi="Times New Roman" w:cs="Times New Roman"/>
          <w:sz w:val="24"/>
          <w:szCs w:val="24"/>
        </w:rPr>
        <w:t>microbiome</w:t>
      </w:r>
      <w:proofErr w:type="spellEnd"/>
      <w:r w:rsidRPr="00B14CCC">
        <w:rPr>
          <w:rFonts w:ascii="Times New Roman" w:eastAsia="Times New Roman" w:hAnsi="Times New Roman" w:cs="Times New Roman"/>
          <w:sz w:val="24"/>
          <w:szCs w:val="24"/>
        </w:rPr>
        <w:t xml:space="preserve"> and inflammation has emerged as an important consideration in understanding the anti-inflammatory effects of medicinal plants. Recent research suggests that some anti-inflammatory phytochemicals exert their effects partly through modulating gut </w:t>
      </w:r>
      <w:proofErr w:type="spellStart"/>
      <w:r w:rsidRPr="00B14CCC">
        <w:rPr>
          <w:rFonts w:ascii="Times New Roman" w:eastAsia="Times New Roman" w:hAnsi="Times New Roman" w:cs="Times New Roman"/>
          <w:sz w:val="24"/>
          <w:szCs w:val="24"/>
        </w:rPr>
        <w:t>microbiota</w:t>
      </w:r>
      <w:proofErr w:type="spellEnd"/>
      <w:r w:rsidRPr="00B14CCC">
        <w:rPr>
          <w:rFonts w:ascii="Times New Roman" w:eastAsia="Times New Roman" w:hAnsi="Times New Roman" w:cs="Times New Roman"/>
          <w:sz w:val="24"/>
          <w:szCs w:val="24"/>
        </w:rPr>
        <w:t xml:space="preserve"> composition and function, influencing production of microbial metabolites that affect systemic inflammation (</w:t>
      </w:r>
      <w:proofErr w:type="spellStart"/>
      <w:r w:rsidRPr="00B14CCC">
        <w:rPr>
          <w:rFonts w:ascii="Times New Roman" w:eastAsia="Times New Roman" w:hAnsi="Times New Roman" w:cs="Times New Roman"/>
          <w:sz w:val="24"/>
          <w:szCs w:val="24"/>
        </w:rPr>
        <w:t>Ozdal</w:t>
      </w:r>
      <w:proofErr w:type="spellEnd"/>
      <w:r w:rsidRPr="00B14CCC">
        <w:rPr>
          <w:rFonts w:ascii="Times New Roman" w:eastAsia="Times New Roman" w:hAnsi="Times New Roman" w:cs="Times New Roman"/>
          <w:sz w:val="24"/>
          <w:szCs w:val="24"/>
        </w:rPr>
        <w:t xml:space="preserve"> et al., 2016). </w:t>
      </w:r>
      <w:proofErr w:type="spellStart"/>
      <w:r w:rsidRPr="00B14CCC">
        <w:rPr>
          <w:rFonts w:ascii="Times New Roman" w:eastAsia="Times New Roman" w:hAnsi="Times New Roman" w:cs="Times New Roman"/>
          <w:sz w:val="24"/>
          <w:szCs w:val="24"/>
        </w:rPr>
        <w:t>Polyphenolic</w:t>
      </w:r>
      <w:proofErr w:type="spellEnd"/>
      <w:r w:rsidRPr="00B14CCC">
        <w:rPr>
          <w:rFonts w:ascii="Times New Roman" w:eastAsia="Times New Roman" w:hAnsi="Times New Roman" w:cs="Times New Roman"/>
          <w:sz w:val="24"/>
          <w:szCs w:val="24"/>
        </w:rPr>
        <w:t xml:space="preserve"> compounds, which are often poorly absorbed in the small intestine, undergo extensive metabolism by colonic </w:t>
      </w:r>
      <w:proofErr w:type="spellStart"/>
      <w:r w:rsidRPr="00B14CCC">
        <w:rPr>
          <w:rFonts w:ascii="Times New Roman" w:eastAsia="Times New Roman" w:hAnsi="Times New Roman" w:cs="Times New Roman"/>
          <w:sz w:val="24"/>
          <w:szCs w:val="24"/>
        </w:rPr>
        <w:t>microbiota</w:t>
      </w:r>
      <w:proofErr w:type="spellEnd"/>
      <w:r w:rsidRPr="00B14CCC">
        <w:rPr>
          <w:rFonts w:ascii="Times New Roman" w:eastAsia="Times New Roman" w:hAnsi="Times New Roman" w:cs="Times New Roman"/>
          <w:sz w:val="24"/>
          <w:szCs w:val="24"/>
        </w:rPr>
        <w:t xml:space="preserve">, generating metabolites that may contribute significantly to the observed anti-inflammatory effects. This understanding aligns with traditional practices in various medical systems that emphasize digestive health as fundamental to overall wellness and highlights the importance of considering the gut </w:t>
      </w:r>
      <w:proofErr w:type="spellStart"/>
      <w:r w:rsidRPr="00B14CCC">
        <w:rPr>
          <w:rFonts w:ascii="Times New Roman" w:eastAsia="Times New Roman" w:hAnsi="Times New Roman" w:cs="Times New Roman"/>
          <w:sz w:val="24"/>
          <w:szCs w:val="24"/>
        </w:rPr>
        <w:t>microbiome</w:t>
      </w:r>
      <w:proofErr w:type="spellEnd"/>
      <w:r w:rsidRPr="00B14CCC">
        <w:rPr>
          <w:rFonts w:ascii="Times New Roman" w:eastAsia="Times New Roman" w:hAnsi="Times New Roman" w:cs="Times New Roman"/>
          <w:sz w:val="24"/>
          <w:szCs w:val="24"/>
        </w:rPr>
        <w:t xml:space="preserve"> in </w:t>
      </w:r>
      <w:proofErr w:type="spellStart"/>
      <w:r w:rsidRPr="00B14CCC">
        <w:rPr>
          <w:rFonts w:ascii="Times New Roman" w:eastAsia="Times New Roman" w:hAnsi="Times New Roman" w:cs="Times New Roman"/>
          <w:sz w:val="24"/>
          <w:szCs w:val="24"/>
        </w:rPr>
        <w:t>ethnopharmacological</w:t>
      </w:r>
      <w:proofErr w:type="spellEnd"/>
      <w:r w:rsidRPr="00B14CCC">
        <w:rPr>
          <w:rFonts w:ascii="Times New Roman" w:eastAsia="Times New Roman" w:hAnsi="Times New Roman" w:cs="Times New Roman"/>
          <w:sz w:val="24"/>
          <w:szCs w:val="24"/>
        </w:rPr>
        <w:t xml:space="preserve"> research.</w:t>
      </w:r>
    </w:p>
    <w:p w:rsidR="000216FD" w:rsidRPr="00B14CCC" w:rsidRDefault="000216FD"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6.3 Antioxidant Activity</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Oxidative stress, resulting from imbalance between reactive oxygen species (ROS) generation and antioxidant defenses, contributes to aging processes and pathogenesis of numerous chronic diseases including cardiovascular disease, cancer, neurodegenerative disorders, and diabetes. Medicinal plants represent rich sources of antioxidant compounds, and many traditional applications involve conditions now recognized as having oxidative stress components. The antioxidant properties of medicinal plants have been extensively investigated, with thousands of publications documenting antioxidant activities and characterizing responsible phytochemical constituents (Lobo et al., 2010).</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Plant antioxidants function through various mechanisms, including direct scavenging of free radicals through donation of hydrogen atoms or electrons, chelation of pro-oxidant metal ions (particularly iron and copper), regeneration of other antioxidants, and </w:t>
      </w:r>
      <w:proofErr w:type="spellStart"/>
      <w:r w:rsidRPr="00B14CCC">
        <w:rPr>
          <w:rFonts w:ascii="Times New Roman" w:eastAsia="Times New Roman" w:hAnsi="Times New Roman" w:cs="Times New Roman"/>
          <w:sz w:val="24"/>
          <w:szCs w:val="24"/>
        </w:rPr>
        <w:t>upregulation</w:t>
      </w:r>
      <w:proofErr w:type="spellEnd"/>
      <w:r w:rsidRPr="00B14CCC">
        <w:rPr>
          <w:rFonts w:ascii="Times New Roman" w:eastAsia="Times New Roman" w:hAnsi="Times New Roman" w:cs="Times New Roman"/>
          <w:sz w:val="24"/>
          <w:szCs w:val="24"/>
        </w:rPr>
        <w:t xml:space="preserve"> of endogenous antioxidant enzyme systems through activation of transcription factors such as nuclear factor </w:t>
      </w:r>
      <w:proofErr w:type="spellStart"/>
      <w:r w:rsidRPr="00B14CCC">
        <w:rPr>
          <w:rFonts w:ascii="Times New Roman" w:eastAsia="Times New Roman" w:hAnsi="Times New Roman" w:cs="Times New Roman"/>
          <w:sz w:val="24"/>
          <w:szCs w:val="24"/>
        </w:rPr>
        <w:t>erythroid</w:t>
      </w:r>
      <w:proofErr w:type="spellEnd"/>
      <w:r w:rsidRPr="00B14CCC">
        <w:rPr>
          <w:rFonts w:ascii="Times New Roman" w:eastAsia="Times New Roman" w:hAnsi="Times New Roman" w:cs="Times New Roman"/>
          <w:sz w:val="24"/>
          <w:szCs w:val="24"/>
        </w:rPr>
        <w:t xml:space="preserve"> 2-related factor 2 (Nrf2). Different classes of phytochemicals exhibit distinct antioxidant mechanisms and potencies, with phenolic compounds (including flavonoids, phenolic acids, and tannins) </w:t>
      </w:r>
      <w:proofErr w:type="gramStart"/>
      <w:r w:rsidRPr="00B14CCC">
        <w:rPr>
          <w:rFonts w:ascii="Times New Roman" w:eastAsia="Times New Roman" w:hAnsi="Times New Roman" w:cs="Times New Roman"/>
          <w:sz w:val="24"/>
          <w:szCs w:val="24"/>
        </w:rPr>
        <w:t>generally demonstrating</w:t>
      </w:r>
      <w:proofErr w:type="gramEnd"/>
      <w:r w:rsidRPr="00B14CCC">
        <w:rPr>
          <w:rFonts w:ascii="Times New Roman" w:eastAsia="Times New Roman" w:hAnsi="Times New Roman" w:cs="Times New Roman"/>
          <w:sz w:val="24"/>
          <w:szCs w:val="24"/>
        </w:rPr>
        <w:t xml:space="preserve"> the strongest antioxidant activities due to their ability to stabilize free radicals through resonance delocalization (</w:t>
      </w:r>
      <w:proofErr w:type="spellStart"/>
      <w:r w:rsidRPr="00B14CCC">
        <w:rPr>
          <w:rFonts w:ascii="Times New Roman" w:eastAsia="Times New Roman" w:hAnsi="Times New Roman" w:cs="Times New Roman"/>
          <w:sz w:val="24"/>
          <w:szCs w:val="24"/>
        </w:rPr>
        <w:t>Nimse</w:t>
      </w:r>
      <w:proofErr w:type="spellEnd"/>
      <w:r w:rsidRPr="00B14CCC">
        <w:rPr>
          <w:rFonts w:ascii="Times New Roman" w:eastAsia="Times New Roman" w:hAnsi="Times New Roman" w:cs="Times New Roman"/>
          <w:sz w:val="24"/>
          <w:szCs w:val="24"/>
        </w:rPr>
        <w:t xml:space="preserve"> &amp; Pal, 2015). Carotenoids, </w:t>
      </w:r>
      <w:proofErr w:type="spellStart"/>
      <w:r w:rsidRPr="00B14CCC">
        <w:rPr>
          <w:rFonts w:ascii="Times New Roman" w:eastAsia="Times New Roman" w:hAnsi="Times New Roman" w:cs="Times New Roman"/>
          <w:sz w:val="24"/>
          <w:szCs w:val="24"/>
        </w:rPr>
        <w:t>tocopherols</w:t>
      </w:r>
      <w:proofErr w:type="spellEnd"/>
      <w:r w:rsidRPr="00B14CCC">
        <w:rPr>
          <w:rFonts w:ascii="Times New Roman" w:eastAsia="Times New Roman" w:hAnsi="Times New Roman" w:cs="Times New Roman"/>
          <w:sz w:val="24"/>
          <w:szCs w:val="24"/>
        </w:rPr>
        <w:t>, and certain alkaloids also contribute significantly to the antioxidant capacity of medicinal plants.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In vitro antioxidant assays have been widely employed to screen medicinal plant extracts and isolated compounds, with common methods including DPPH (2,2-diphenyl-1-picrylhydrazyl) radical scavenging, ABTS (2,2'-azino-bis(3-ethylbenzothiazoline-6-sulfonic acid)) radical </w:t>
      </w:r>
      <w:proofErr w:type="spellStart"/>
      <w:r w:rsidRPr="00B14CCC">
        <w:rPr>
          <w:rFonts w:ascii="Times New Roman" w:eastAsia="Times New Roman" w:hAnsi="Times New Roman" w:cs="Times New Roman"/>
          <w:sz w:val="24"/>
          <w:szCs w:val="24"/>
        </w:rPr>
        <w:lastRenderedPageBreak/>
        <w:t>cation</w:t>
      </w:r>
      <w:proofErr w:type="spellEnd"/>
      <w:r w:rsidRPr="00B14CCC">
        <w:rPr>
          <w:rFonts w:ascii="Times New Roman" w:eastAsia="Times New Roman" w:hAnsi="Times New Roman" w:cs="Times New Roman"/>
          <w:sz w:val="24"/>
          <w:szCs w:val="24"/>
        </w:rPr>
        <w:t xml:space="preserve"> scavenging, ferric reducing antioxidant power (FRAP), oxygen radical absorbance capacity (ORAC), and lipid peroxidation inhibition assays. While these assays provide useful comparative data regarding antioxidant capacity, their relevance to in vivo antioxidant effects remains debatable, as factors such as bioavailability, metabolism, tissue distribution, and interactions with cellular antioxidant systems significantly influence physiological antioxidant activity (Prior et al., 2005). Nevertheless, strong in vitro antioxidant activity often correlates with beneficial health effects observed in cellular, animal, and clinical studies.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Studies examining medicinal plants across diverse traditional medical systems have consistently identified species with exceptional antioxidant properties. For example, systematic screening of traditional Chinese medicinal plants identified numerous species with potent antioxidant activities, including </w:t>
      </w:r>
      <w:r w:rsidRPr="00B14CCC">
        <w:rPr>
          <w:rFonts w:ascii="Times New Roman" w:eastAsia="Times New Roman" w:hAnsi="Times New Roman" w:cs="Times New Roman"/>
          <w:i/>
          <w:iCs/>
          <w:sz w:val="24"/>
          <w:szCs w:val="24"/>
        </w:rPr>
        <w:t xml:space="preserve">Salvia </w:t>
      </w:r>
      <w:proofErr w:type="spellStart"/>
      <w:r w:rsidRPr="00B14CCC">
        <w:rPr>
          <w:rFonts w:ascii="Times New Roman" w:eastAsia="Times New Roman" w:hAnsi="Times New Roman" w:cs="Times New Roman"/>
          <w:i/>
          <w:iCs/>
          <w:sz w:val="24"/>
          <w:szCs w:val="24"/>
        </w:rPr>
        <w:t>miltiorrhiza</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Danshen</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i/>
          <w:iCs/>
          <w:sz w:val="24"/>
          <w:szCs w:val="24"/>
        </w:rPr>
        <w:t>Paeonia</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lactiflora</w:t>
      </w:r>
      <w:proofErr w:type="spellEnd"/>
      <w:r w:rsidRPr="00B14CCC">
        <w:rPr>
          <w:rFonts w:ascii="Times New Roman" w:eastAsia="Times New Roman" w:hAnsi="Times New Roman" w:cs="Times New Roman"/>
          <w:sz w:val="24"/>
          <w:szCs w:val="24"/>
        </w:rPr>
        <w:t xml:space="preserve"> (white peony), and </w:t>
      </w:r>
      <w:proofErr w:type="spellStart"/>
      <w:r w:rsidRPr="00B14CCC">
        <w:rPr>
          <w:rFonts w:ascii="Times New Roman" w:eastAsia="Times New Roman" w:hAnsi="Times New Roman" w:cs="Times New Roman"/>
          <w:i/>
          <w:iCs/>
          <w:sz w:val="24"/>
          <w:szCs w:val="24"/>
        </w:rPr>
        <w:t>Astragalus</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membranaceus</w:t>
      </w:r>
      <w:proofErr w:type="spellEnd"/>
      <w:r w:rsidRPr="00B14CCC">
        <w:rPr>
          <w:rFonts w:ascii="Times New Roman" w:eastAsia="Times New Roman" w:hAnsi="Times New Roman" w:cs="Times New Roman"/>
          <w:sz w:val="24"/>
          <w:szCs w:val="24"/>
        </w:rPr>
        <w:t xml:space="preserve"> (Huang Qi), plants traditionally used for cardiovascular and inflammatory conditions (Wong et al., 2006). Similarly, investigation of Amazonian medicinal plants revealed strong antioxidant activities in numerous species, including </w:t>
      </w:r>
      <w:proofErr w:type="spellStart"/>
      <w:r w:rsidRPr="00B14CCC">
        <w:rPr>
          <w:rFonts w:ascii="Times New Roman" w:eastAsia="Times New Roman" w:hAnsi="Times New Roman" w:cs="Times New Roman"/>
          <w:i/>
          <w:iCs/>
          <w:sz w:val="24"/>
          <w:szCs w:val="24"/>
        </w:rPr>
        <w:t>Uncaria</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tomentosa</w:t>
      </w:r>
      <w:proofErr w:type="spellEnd"/>
      <w:r w:rsidRPr="00B14CCC">
        <w:rPr>
          <w:rFonts w:ascii="Times New Roman" w:eastAsia="Times New Roman" w:hAnsi="Times New Roman" w:cs="Times New Roman"/>
          <w:sz w:val="24"/>
          <w:szCs w:val="24"/>
        </w:rPr>
        <w:t xml:space="preserve"> (cat's claw) and various </w:t>
      </w:r>
      <w:proofErr w:type="spellStart"/>
      <w:r w:rsidRPr="00B14CCC">
        <w:rPr>
          <w:rFonts w:ascii="Times New Roman" w:eastAsia="Times New Roman" w:hAnsi="Times New Roman" w:cs="Times New Roman"/>
          <w:i/>
          <w:iCs/>
          <w:sz w:val="24"/>
          <w:szCs w:val="24"/>
        </w:rPr>
        <w:t>Psidium</w:t>
      </w:r>
      <w:proofErr w:type="spellEnd"/>
      <w:r w:rsidRPr="00B14CCC">
        <w:rPr>
          <w:rFonts w:ascii="Times New Roman" w:eastAsia="Times New Roman" w:hAnsi="Times New Roman" w:cs="Times New Roman"/>
          <w:sz w:val="24"/>
          <w:szCs w:val="24"/>
        </w:rPr>
        <w:t xml:space="preserve"> species. These findings support hypotheses that traditional selection of medicinal plants was influenced, at least partially, by their antioxidant properties and associated therapeutic effects.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relationship between dietary antioxidant intake and chronic disease prevention has been extensively studied through epidemiological, experimental, and clinical research. Numerous observational studies have demonstrated inverse associations between consumption of antioxidant-rich foods (particularly fruits, vegetables, and beverages such as tea) and risks of various chronic diseases (</w:t>
      </w:r>
      <w:proofErr w:type="spellStart"/>
      <w:r w:rsidRPr="00B14CCC">
        <w:rPr>
          <w:rFonts w:ascii="Times New Roman" w:eastAsia="Times New Roman" w:hAnsi="Times New Roman" w:cs="Times New Roman"/>
          <w:sz w:val="24"/>
          <w:szCs w:val="24"/>
        </w:rPr>
        <w:t>Willcox</w:t>
      </w:r>
      <w:proofErr w:type="spellEnd"/>
      <w:r w:rsidRPr="00B14CCC">
        <w:rPr>
          <w:rFonts w:ascii="Times New Roman" w:eastAsia="Times New Roman" w:hAnsi="Times New Roman" w:cs="Times New Roman"/>
          <w:sz w:val="24"/>
          <w:szCs w:val="24"/>
        </w:rPr>
        <w:t xml:space="preserve"> et al., 2004). However, clinical trials of isolated antioxidant supplements have generally produced disappointing results, with some studies even suggesting potential adverse effects of high-dose antioxidant supplementation. These observations have led to growing recognition that the health benefits of antioxidant-rich foods may result from complex mixtures of compounds acting synergistically rather than from individual isolated antioxidants, supporting traditional practices of consuming whole plant preparations rather than isolated compounds.</w:t>
      </w:r>
    </w:p>
    <w:p w:rsidR="000216FD" w:rsidRPr="00B14CCC" w:rsidRDefault="000216FD"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sz w:val="24"/>
          <w:szCs w:val="24"/>
        </w:rPr>
        <w:t>Neuroprotective</w:t>
      </w:r>
      <w:proofErr w:type="spellEnd"/>
      <w:r w:rsidRPr="00B14CCC">
        <w:rPr>
          <w:rFonts w:ascii="Times New Roman" w:eastAsia="Times New Roman" w:hAnsi="Times New Roman" w:cs="Times New Roman"/>
          <w:sz w:val="24"/>
          <w:szCs w:val="24"/>
        </w:rPr>
        <w:t xml:space="preserve"> effects of antioxidant-rich medicinal plants have attracted particular research interest given the role of oxidative stress in neurodegenerative diseases such as Alzheimer's disease, Parkinson's disease, and amyotrophic lateral sclerosis. Numerous traditional medicinal plants demonstrate </w:t>
      </w:r>
      <w:proofErr w:type="spellStart"/>
      <w:r w:rsidRPr="00B14CCC">
        <w:rPr>
          <w:rFonts w:ascii="Times New Roman" w:eastAsia="Times New Roman" w:hAnsi="Times New Roman" w:cs="Times New Roman"/>
          <w:sz w:val="24"/>
          <w:szCs w:val="24"/>
        </w:rPr>
        <w:t>neuroprotective</w:t>
      </w:r>
      <w:proofErr w:type="spellEnd"/>
      <w:r w:rsidRPr="00B14CCC">
        <w:rPr>
          <w:rFonts w:ascii="Times New Roman" w:eastAsia="Times New Roman" w:hAnsi="Times New Roman" w:cs="Times New Roman"/>
          <w:sz w:val="24"/>
          <w:szCs w:val="24"/>
        </w:rPr>
        <w:t xml:space="preserve"> effects in experimental models, with mechanisms involving not only direct antioxidant activity but also modulation of </w:t>
      </w:r>
      <w:proofErr w:type="spellStart"/>
      <w:r w:rsidRPr="00B14CCC">
        <w:rPr>
          <w:rFonts w:ascii="Times New Roman" w:eastAsia="Times New Roman" w:hAnsi="Times New Roman" w:cs="Times New Roman"/>
          <w:sz w:val="24"/>
          <w:szCs w:val="24"/>
        </w:rPr>
        <w:t>neuroinflammation</w:t>
      </w:r>
      <w:proofErr w:type="spellEnd"/>
      <w:r w:rsidRPr="00B14CCC">
        <w:rPr>
          <w:rFonts w:ascii="Times New Roman" w:eastAsia="Times New Roman" w:hAnsi="Times New Roman" w:cs="Times New Roman"/>
          <w:sz w:val="24"/>
          <w:szCs w:val="24"/>
        </w:rPr>
        <w:t xml:space="preserve">, enhancement of </w:t>
      </w:r>
      <w:proofErr w:type="spellStart"/>
      <w:r w:rsidRPr="00B14CCC">
        <w:rPr>
          <w:rFonts w:ascii="Times New Roman" w:eastAsia="Times New Roman" w:hAnsi="Times New Roman" w:cs="Times New Roman"/>
          <w:sz w:val="24"/>
          <w:szCs w:val="24"/>
        </w:rPr>
        <w:t>neurotrophic</w:t>
      </w:r>
      <w:proofErr w:type="spellEnd"/>
      <w:r w:rsidRPr="00B14CCC">
        <w:rPr>
          <w:rFonts w:ascii="Times New Roman" w:eastAsia="Times New Roman" w:hAnsi="Times New Roman" w:cs="Times New Roman"/>
          <w:sz w:val="24"/>
          <w:szCs w:val="24"/>
        </w:rPr>
        <w:t xml:space="preserve"> factor expression, and inhibition of pathological protein aggregation (Kumar &amp; Singh, 2015). Examples include </w:t>
      </w:r>
      <w:r w:rsidRPr="00B14CCC">
        <w:rPr>
          <w:rFonts w:ascii="Times New Roman" w:eastAsia="Times New Roman" w:hAnsi="Times New Roman" w:cs="Times New Roman"/>
          <w:i/>
          <w:iCs/>
          <w:sz w:val="24"/>
          <w:szCs w:val="24"/>
        </w:rPr>
        <w:t xml:space="preserve">Ginkgo </w:t>
      </w:r>
      <w:proofErr w:type="spellStart"/>
      <w:r w:rsidRPr="00B14CCC">
        <w:rPr>
          <w:rFonts w:ascii="Times New Roman" w:eastAsia="Times New Roman" w:hAnsi="Times New Roman" w:cs="Times New Roman"/>
          <w:i/>
          <w:iCs/>
          <w:sz w:val="24"/>
          <w:szCs w:val="24"/>
        </w:rPr>
        <w:t>biloba</w:t>
      </w:r>
      <w:proofErr w:type="spellEnd"/>
      <w:r w:rsidRPr="00B14CCC">
        <w:rPr>
          <w:rFonts w:ascii="Times New Roman" w:eastAsia="Times New Roman" w:hAnsi="Times New Roman" w:cs="Times New Roman"/>
          <w:sz w:val="24"/>
          <w:szCs w:val="24"/>
        </w:rPr>
        <w:t xml:space="preserve">, traditionally used in Chinese medicine and now widely used in Western countries for cognitive enhancement; </w:t>
      </w:r>
      <w:proofErr w:type="spellStart"/>
      <w:r w:rsidRPr="00B14CCC">
        <w:rPr>
          <w:rFonts w:ascii="Times New Roman" w:eastAsia="Times New Roman" w:hAnsi="Times New Roman" w:cs="Times New Roman"/>
          <w:i/>
          <w:iCs/>
          <w:sz w:val="24"/>
          <w:szCs w:val="24"/>
        </w:rPr>
        <w:t>Bacopa</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monnieri</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Brahmi</w:t>
      </w:r>
      <w:proofErr w:type="spellEnd"/>
      <w:r w:rsidRPr="00B14CCC">
        <w:rPr>
          <w:rFonts w:ascii="Times New Roman" w:eastAsia="Times New Roman" w:hAnsi="Times New Roman" w:cs="Times New Roman"/>
          <w:sz w:val="24"/>
          <w:szCs w:val="24"/>
        </w:rPr>
        <w:t xml:space="preserve">), used in </w:t>
      </w:r>
      <w:proofErr w:type="spellStart"/>
      <w:r w:rsidRPr="00B14CCC">
        <w:rPr>
          <w:rFonts w:ascii="Times New Roman" w:eastAsia="Times New Roman" w:hAnsi="Times New Roman" w:cs="Times New Roman"/>
          <w:sz w:val="24"/>
          <w:szCs w:val="24"/>
        </w:rPr>
        <w:t>Ayurvedic</w:t>
      </w:r>
      <w:proofErr w:type="spellEnd"/>
      <w:r w:rsidRPr="00B14CCC">
        <w:rPr>
          <w:rFonts w:ascii="Times New Roman" w:eastAsia="Times New Roman" w:hAnsi="Times New Roman" w:cs="Times New Roman"/>
          <w:sz w:val="24"/>
          <w:szCs w:val="24"/>
        </w:rPr>
        <w:t xml:space="preserve"> medicine as a memory enhancer; and </w:t>
      </w:r>
      <w:proofErr w:type="spellStart"/>
      <w:r w:rsidRPr="00B14CCC">
        <w:rPr>
          <w:rFonts w:ascii="Times New Roman" w:eastAsia="Times New Roman" w:hAnsi="Times New Roman" w:cs="Times New Roman"/>
          <w:i/>
          <w:iCs/>
          <w:sz w:val="24"/>
          <w:szCs w:val="24"/>
        </w:rPr>
        <w:t>Centella</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asiatica</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Gotu</w:t>
      </w:r>
      <w:proofErr w:type="spellEnd"/>
      <w:r w:rsidRPr="00B14CCC">
        <w:rPr>
          <w:rFonts w:ascii="Times New Roman" w:eastAsia="Times New Roman" w:hAnsi="Times New Roman" w:cs="Times New Roman"/>
          <w:sz w:val="24"/>
          <w:szCs w:val="24"/>
        </w:rPr>
        <w:t xml:space="preserve"> kola), employed in various Asian medical traditions for cognitive and neurological conditions. Clinical evidence supporting cognitive benefits of these plants remains mixed, with some trials showing modest benefits while others demonstrate no significant effects, highlighting needs for improved study design and standardization.</w:t>
      </w:r>
    </w:p>
    <w:p w:rsidR="000216FD" w:rsidRPr="00B14CCC" w:rsidRDefault="000216FD"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lastRenderedPageBreak/>
        <w:t>6.4 Anticancer Potential</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Cancer represents one of the leading causes of mortality globally, and the search for effective anticancer agents from medicinal plants remains a major focus of pharmacological research. Many traditional medical systems have described treatments for conditions that, based on symptom descriptions, likely included various cancers, though without the modern diagnostic framework for defining malignancies. Nevertheless, indigenous healers developed treatments for tumors, abnormal growths, and related symptoms, with some showing documented efficacy (Desai et al., 2008). Contemporary investigation has revealed that numerous medicinal plants possess compounds with potent anticancer activities, with approximately 60% of anticancer drugs approved between 1981 and 2014 being either natural products or derived from natural product leads (Newman &amp; </w:t>
      </w:r>
      <w:proofErr w:type="spellStart"/>
      <w:r w:rsidRPr="00B14CCC">
        <w:rPr>
          <w:rFonts w:ascii="Times New Roman" w:eastAsia="Times New Roman" w:hAnsi="Times New Roman" w:cs="Times New Roman"/>
          <w:sz w:val="24"/>
          <w:szCs w:val="24"/>
        </w:rPr>
        <w:t>Cragg</w:t>
      </w:r>
      <w:proofErr w:type="spellEnd"/>
      <w:r w:rsidRPr="00B14CCC">
        <w:rPr>
          <w:rFonts w:ascii="Times New Roman" w:eastAsia="Times New Roman" w:hAnsi="Times New Roman" w:cs="Times New Roman"/>
          <w:sz w:val="24"/>
          <w:szCs w:val="24"/>
        </w:rPr>
        <w:t>, 2016).</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Plant-derived anticancer compounds exhibit diverse mechanisms of action affecting multiple aspects of cancer biology, including inhibition of cell proliferation, induction of apoptosis, cell cycle arrest, inhibition of angiogenesis, suppression of metastasis and invasion, modulation of signal transduction pathways, inhibition of oncogenic transcription factors, and immunomodulation (</w:t>
      </w:r>
      <w:proofErr w:type="spellStart"/>
      <w:r w:rsidRPr="00B14CCC">
        <w:rPr>
          <w:rFonts w:ascii="Times New Roman" w:eastAsia="Times New Roman" w:hAnsi="Times New Roman" w:cs="Times New Roman"/>
          <w:sz w:val="24"/>
          <w:szCs w:val="24"/>
        </w:rPr>
        <w:t>Cragg</w:t>
      </w:r>
      <w:proofErr w:type="spellEnd"/>
      <w:r w:rsidRPr="00B14CCC">
        <w:rPr>
          <w:rFonts w:ascii="Times New Roman" w:eastAsia="Times New Roman" w:hAnsi="Times New Roman" w:cs="Times New Roman"/>
          <w:sz w:val="24"/>
          <w:szCs w:val="24"/>
        </w:rPr>
        <w:t xml:space="preserve"> &amp; </w:t>
      </w:r>
      <w:proofErr w:type="spellStart"/>
      <w:r w:rsidRPr="00B14CCC">
        <w:rPr>
          <w:rFonts w:ascii="Times New Roman" w:eastAsia="Times New Roman" w:hAnsi="Times New Roman" w:cs="Times New Roman"/>
          <w:sz w:val="24"/>
          <w:szCs w:val="24"/>
        </w:rPr>
        <w:t>Pezzuto</w:t>
      </w:r>
      <w:proofErr w:type="spellEnd"/>
      <w:r w:rsidRPr="00B14CCC">
        <w:rPr>
          <w:rFonts w:ascii="Times New Roman" w:eastAsia="Times New Roman" w:hAnsi="Times New Roman" w:cs="Times New Roman"/>
          <w:sz w:val="24"/>
          <w:szCs w:val="24"/>
        </w:rPr>
        <w:t xml:space="preserve">, 2016). This mechanistic diversity reflects the structural variety of anticancer phytochemicals, which span multiple chemical classes including alkaloids, </w:t>
      </w:r>
      <w:proofErr w:type="spellStart"/>
      <w:r w:rsidRPr="00B14CCC">
        <w:rPr>
          <w:rFonts w:ascii="Times New Roman" w:eastAsia="Times New Roman" w:hAnsi="Times New Roman" w:cs="Times New Roman"/>
          <w:sz w:val="24"/>
          <w:szCs w:val="24"/>
        </w:rPr>
        <w:t>terpenoids</w:t>
      </w:r>
      <w:proofErr w:type="spellEnd"/>
      <w:r w:rsidRPr="00B14CCC">
        <w:rPr>
          <w:rFonts w:ascii="Times New Roman" w:eastAsia="Times New Roman" w:hAnsi="Times New Roman" w:cs="Times New Roman"/>
          <w:sz w:val="24"/>
          <w:szCs w:val="24"/>
        </w:rPr>
        <w:t xml:space="preserve">, flavonoids, </w:t>
      </w:r>
      <w:proofErr w:type="spellStart"/>
      <w:r w:rsidRPr="00B14CCC">
        <w:rPr>
          <w:rFonts w:ascii="Times New Roman" w:eastAsia="Times New Roman" w:hAnsi="Times New Roman" w:cs="Times New Roman"/>
          <w:sz w:val="24"/>
          <w:szCs w:val="24"/>
        </w:rPr>
        <w:t>lignans</w:t>
      </w:r>
      <w:proofErr w:type="spellEnd"/>
      <w:r w:rsidRPr="00B14CCC">
        <w:rPr>
          <w:rFonts w:ascii="Times New Roman" w:eastAsia="Times New Roman" w:hAnsi="Times New Roman" w:cs="Times New Roman"/>
          <w:sz w:val="24"/>
          <w:szCs w:val="24"/>
        </w:rPr>
        <w:t xml:space="preserve">, and other </w:t>
      </w:r>
      <w:proofErr w:type="spellStart"/>
      <w:r w:rsidRPr="00B14CCC">
        <w:rPr>
          <w:rFonts w:ascii="Times New Roman" w:eastAsia="Times New Roman" w:hAnsi="Times New Roman" w:cs="Times New Roman"/>
          <w:sz w:val="24"/>
          <w:szCs w:val="24"/>
        </w:rPr>
        <w:t>polyphenolic</w:t>
      </w:r>
      <w:proofErr w:type="spellEnd"/>
      <w:r w:rsidRPr="00B14CCC">
        <w:rPr>
          <w:rFonts w:ascii="Times New Roman" w:eastAsia="Times New Roman" w:hAnsi="Times New Roman" w:cs="Times New Roman"/>
          <w:sz w:val="24"/>
          <w:szCs w:val="24"/>
        </w:rPr>
        <w:t xml:space="preserve"> compounds. The multi-targeted nature of many plant-derived anticancer agents may provide advantages compared to conventional chemotherapeutic drugs that typically target single pathways, as cancer cells may find it more difficult to develop resistance against compounds affecting multiple targets simultaneously.</w:t>
      </w:r>
    </w:p>
    <w:p w:rsidR="000216FD" w:rsidRPr="00B14CCC" w:rsidRDefault="000216FD"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sz w:val="24"/>
          <w:szCs w:val="24"/>
        </w:rPr>
        <w:t>Vinca</w:t>
      </w:r>
      <w:proofErr w:type="spellEnd"/>
      <w:r w:rsidRPr="00B14CCC">
        <w:rPr>
          <w:rFonts w:ascii="Times New Roman" w:eastAsia="Times New Roman" w:hAnsi="Times New Roman" w:cs="Times New Roman"/>
          <w:sz w:val="24"/>
          <w:szCs w:val="24"/>
        </w:rPr>
        <w:t xml:space="preserve"> alkaloids (vinblastine and vincristine) from </w:t>
      </w:r>
      <w:proofErr w:type="spellStart"/>
      <w:r w:rsidRPr="00B14CCC">
        <w:rPr>
          <w:rFonts w:ascii="Times New Roman" w:eastAsia="Times New Roman" w:hAnsi="Times New Roman" w:cs="Times New Roman"/>
          <w:i/>
          <w:iCs/>
          <w:sz w:val="24"/>
          <w:szCs w:val="24"/>
        </w:rPr>
        <w:t>Catharanthus</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roseus</w:t>
      </w:r>
      <w:proofErr w:type="spellEnd"/>
      <w:r w:rsidRPr="00B14CCC">
        <w:rPr>
          <w:rFonts w:ascii="Times New Roman" w:eastAsia="Times New Roman" w:hAnsi="Times New Roman" w:cs="Times New Roman"/>
          <w:sz w:val="24"/>
          <w:szCs w:val="24"/>
        </w:rPr>
        <w:t xml:space="preserve"> and </w:t>
      </w:r>
      <w:proofErr w:type="spellStart"/>
      <w:r w:rsidRPr="00B14CCC">
        <w:rPr>
          <w:rFonts w:ascii="Times New Roman" w:eastAsia="Times New Roman" w:hAnsi="Times New Roman" w:cs="Times New Roman"/>
          <w:sz w:val="24"/>
          <w:szCs w:val="24"/>
        </w:rPr>
        <w:t>taxanes</w:t>
      </w:r>
      <w:proofErr w:type="spellEnd"/>
      <w:r w:rsidRPr="00B14CCC">
        <w:rPr>
          <w:rFonts w:ascii="Times New Roman" w:eastAsia="Times New Roman" w:hAnsi="Times New Roman" w:cs="Times New Roman"/>
          <w:sz w:val="24"/>
          <w:szCs w:val="24"/>
        </w:rPr>
        <w:t xml:space="preserve"> (paclitaxel and </w:t>
      </w:r>
      <w:proofErr w:type="spellStart"/>
      <w:r w:rsidRPr="00B14CCC">
        <w:rPr>
          <w:rFonts w:ascii="Times New Roman" w:eastAsia="Times New Roman" w:hAnsi="Times New Roman" w:cs="Times New Roman"/>
          <w:sz w:val="24"/>
          <w:szCs w:val="24"/>
        </w:rPr>
        <w:t>docetaxel</w:t>
      </w:r>
      <w:proofErr w:type="spellEnd"/>
      <w:r w:rsidRPr="00B14CCC">
        <w:rPr>
          <w:rFonts w:ascii="Times New Roman" w:eastAsia="Times New Roman" w:hAnsi="Times New Roman" w:cs="Times New Roman"/>
          <w:sz w:val="24"/>
          <w:szCs w:val="24"/>
        </w:rPr>
        <w:t xml:space="preserve">) from </w:t>
      </w:r>
      <w:proofErr w:type="spellStart"/>
      <w:r w:rsidRPr="00B14CCC">
        <w:rPr>
          <w:rFonts w:ascii="Times New Roman" w:eastAsia="Times New Roman" w:hAnsi="Times New Roman" w:cs="Times New Roman"/>
          <w:i/>
          <w:iCs/>
          <w:sz w:val="24"/>
          <w:szCs w:val="24"/>
        </w:rPr>
        <w:t>Taxus</w:t>
      </w:r>
      <w:proofErr w:type="spellEnd"/>
      <w:r w:rsidRPr="00B14CCC">
        <w:rPr>
          <w:rFonts w:ascii="Times New Roman" w:eastAsia="Times New Roman" w:hAnsi="Times New Roman" w:cs="Times New Roman"/>
          <w:sz w:val="24"/>
          <w:szCs w:val="24"/>
        </w:rPr>
        <w:t xml:space="preserve"> species represent the most commercially successful plant-derived anticancer drugs, with combined annual sales exceeding several billion dollars. Paclitaxel, originally isolated from the bark of </w:t>
      </w:r>
      <w:proofErr w:type="spellStart"/>
      <w:r w:rsidRPr="00B14CCC">
        <w:rPr>
          <w:rFonts w:ascii="Times New Roman" w:eastAsia="Times New Roman" w:hAnsi="Times New Roman" w:cs="Times New Roman"/>
          <w:i/>
          <w:iCs/>
          <w:sz w:val="24"/>
          <w:szCs w:val="24"/>
        </w:rPr>
        <w:t>Taxus</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brevifolia</w:t>
      </w:r>
      <w:proofErr w:type="spellEnd"/>
      <w:r w:rsidRPr="00B14CCC">
        <w:rPr>
          <w:rFonts w:ascii="Times New Roman" w:eastAsia="Times New Roman" w:hAnsi="Times New Roman" w:cs="Times New Roman"/>
          <w:sz w:val="24"/>
          <w:szCs w:val="24"/>
        </w:rPr>
        <w:t xml:space="preserve"> (Pacific yew), stabilizes microtubules and prevents their </w:t>
      </w:r>
      <w:proofErr w:type="spellStart"/>
      <w:r w:rsidRPr="00B14CCC">
        <w:rPr>
          <w:rFonts w:ascii="Times New Roman" w:eastAsia="Times New Roman" w:hAnsi="Times New Roman" w:cs="Times New Roman"/>
          <w:sz w:val="24"/>
          <w:szCs w:val="24"/>
        </w:rPr>
        <w:t>depolymerization</w:t>
      </w:r>
      <w:proofErr w:type="spellEnd"/>
      <w:r w:rsidRPr="00B14CCC">
        <w:rPr>
          <w:rFonts w:ascii="Times New Roman" w:eastAsia="Times New Roman" w:hAnsi="Times New Roman" w:cs="Times New Roman"/>
          <w:sz w:val="24"/>
          <w:szCs w:val="24"/>
        </w:rPr>
        <w:t xml:space="preserve">, arresting cells in mitosis and inducing apoptosis (Weaver, 2014). The drug is used extensively for treating ovarian, breast, lung, and other cancers. Initial supply problems due to limited natural abundance and slow growth of yew trees were addressed through semi-synthetic production from 10-deacetylbaccatin III extracted from renewable </w:t>
      </w:r>
      <w:proofErr w:type="spellStart"/>
      <w:r w:rsidRPr="00B14CCC">
        <w:rPr>
          <w:rFonts w:ascii="Times New Roman" w:eastAsia="Times New Roman" w:hAnsi="Times New Roman" w:cs="Times New Roman"/>
          <w:i/>
          <w:iCs/>
          <w:sz w:val="24"/>
          <w:szCs w:val="24"/>
        </w:rPr>
        <w:t>Taxus</w:t>
      </w:r>
      <w:proofErr w:type="spellEnd"/>
      <w:r w:rsidRPr="00B14CCC">
        <w:rPr>
          <w:rFonts w:ascii="Times New Roman" w:eastAsia="Times New Roman" w:hAnsi="Times New Roman" w:cs="Times New Roman"/>
          <w:sz w:val="24"/>
          <w:szCs w:val="24"/>
        </w:rPr>
        <w:t xml:space="preserve"> needles and through development of plant cell culture methods. </w:t>
      </w:r>
      <w:proofErr w:type="spellStart"/>
      <w:r w:rsidRPr="00B14CCC">
        <w:rPr>
          <w:rFonts w:ascii="Times New Roman" w:eastAsia="Times New Roman" w:hAnsi="Times New Roman" w:cs="Times New Roman"/>
          <w:sz w:val="24"/>
          <w:szCs w:val="24"/>
        </w:rPr>
        <w:t>Docetaxel</w:t>
      </w:r>
      <w:proofErr w:type="spellEnd"/>
      <w:r w:rsidRPr="00B14CCC">
        <w:rPr>
          <w:rFonts w:ascii="Times New Roman" w:eastAsia="Times New Roman" w:hAnsi="Times New Roman" w:cs="Times New Roman"/>
          <w:sz w:val="24"/>
          <w:szCs w:val="24"/>
        </w:rPr>
        <w:t>, a semi-synthetic derivative, exhibits improved solubility and potency compared to paclitaxel.</w:t>
      </w:r>
    </w:p>
    <w:p w:rsidR="000216FD" w:rsidRPr="00B14CCC" w:rsidRDefault="000216FD"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sz w:val="24"/>
          <w:szCs w:val="24"/>
        </w:rPr>
        <w:t>Camptothecin</w:t>
      </w:r>
      <w:proofErr w:type="spellEnd"/>
      <w:r w:rsidRPr="00B14CCC">
        <w:rPr>
          <w:rFonts w:ascii="Times New Roman" w:eastAsia="Times New Roman" w:hAnsi="Times New Roman" w:cs="Times New Roman"/>
          <w:sz w:val="24"/>
          <w:szCs w:val="24"/>
        </w:rPr>
        <w:t xml:space="preserve"> and its derivatives </w:t>
      </w:r>
      <w:proofErr w:type="spellStart"/>
      <w:r w:rsidRPr="00B14CCC">
        <w:rPr>
          <w:rFonts w:ascii="Times New Roman" w:eastAsia="Times New Roman" w:hAnsi="Times New Roman" w:cs="Times New Roman"/>
          <w:sz w:val="24"/>
          <w:szCs w:val="24"/>
        </w:rPr>
        <w:t>topotecan</w:t>
      </w:r>
      <w:proofErr w:type="spellEnd"/>
      <w:r w:rsidRPr="00B14CCC">
        <w:rPr>
          <w:rFonts w:ascii="Times New Roman" w:eastAsia="Times New Roman" w:hAnsi="Times New Roman" w:cs="Times New Roman"/>
          <w:sz w:val="24"/>
          <w:szCs w:val="24"/>
        </w:rPr>
        <w:t xml:space="preserve"> and </w:t>
      </w:r>
      <w:proofErr w:type="spellStart"/>
      <w:r w:rsidRPr="00B14CCC">
        <w:rPr>
          <w:rFonts w:ascii="Times New Roman" w:eastAsia="Times New Roman" w:hAnsi="Times New Roman" w:cs="Times New Roman"/>
          <w:sz w:val="24"/>
          <w:szCs w:val="24"/>
        </w:rPr>
        <w:t>irinotecan</w:t>
      </w:r>
      <w:proofErr w:type="spellEnd"/>
      <w:r w:rsidRPr="00B14CCC">
        <w:rPr>
          <w:rFonts w:ascii="Times New Roman" w:eastAsia="Times New Roman" w:hAnsi="Times New Roman" w:cs="Times New Roman"/>
          <w:sz w:val="24"/>
          <w:szCs w:val="24"/>
        </w:rPr>
        <w:t xml:space="preserve">, derived from </w:t>
      </w:r>
      <w:proofErr w:type="spellStart"/>
      <w:r w:rsidRPr="00B14CCC">
        <w:rPr>
          <w:rFonts w:ascii="Times New Roman" w:eastAsia="Times New Roman" w:hAnsi="Times New Roman" w:cs="Times New Roman"/>
          <w:i/>
          <w:iCs/>
          <w:sz w:val="24"/>
          <w:szCs w:val="24"/>
        </w:rPr>
        <w:t>Camptotheca</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acuminata</w:t>
      </w:r>
      <w:proofErr w:type="spellEnd"/>
      <w:r w:rsidRPr="00B14CCC">
        <w:rPr>
          <w:rFonts w:ascii="Times New Roman" w:eastAsia="Times New Roman" w:hAnsi="Times New Roman" w:cs="Times New Roman"/>
          <w:sz w:val="24"/>
          <w:szCs w:val="24"/>
        </w:rPr>
        <w:t xml:space="preserve"> (Chinese happy tree), represent another important class of plant-derived anticancer drugs that inhibit topoisomerase I, an enzyme essential for DNA replication. These drugs are used for treating colorectal, ovarian, and small cell lung cancers, among others (</w:t>
      </w:r>
      <w:proofErr w:type="spellStart"/>
      <w:r w:rsidRPr="00B14CCC">
        <w:rPr>
          <w:rFonts w:ascii="Times New Roman" w:eastAsia="Times New Roman" w:hAnsi="Times New Roman" w:cs="Times New Roman"/>
          <w:sz w:val="24"/>
          <w:szCs w:val="24"/>
        </w:rPr>
        <w:t>Pommier</w:t>
      </w:r>
      <w:proofErr w:type="spellEnd"/>
      <w:r w:rsidRPr="00B14CCC">
        <w:rPr>
          <w:rFonts w:ascii="Times New Roman" w:eastAsia="Times New Roman" w:hAnsi="Times New Roman" w:cs="Times New Roman"/>
          <w:sz w:val="24"/>
          <w:szCs w:val="24"/>
        </w:rPr>
        <w:t xml:space="preserve">, 2013). </w:t>
      </w:r>
      <w:proofErr w:type="spellStart"/>
      <w:r w:rsidRPr="00B14CCC">
        <w:rPr>
          <w:rFonts w:ascii="Times New Roman" w:eastAsia="Times New Roman" w:hAnsi="Times New Roman" w:cs="Times New Roman"/>
          <w:sz w:val="24"/>
          <w:szCs w:val="24"/>
        </w:rPr>
        <w:t>Podophyllotoxin</w:t>
      </w:r>
      <w:proofErr w:type="spellEnd"/>
      <w:r w:rsidRPr="00B14CCC">
        <w:rPr>
          <w:rFonts w:ascii="Times New Roman" w:eastAsia="Times New Roman" w:hAnsi="Times New Roman" w:cs="Times New Roman"/>
          <w:sz w:val="24"/>
          <w:szCs w:val="24"/>
        </w:rPr>
        <w:t xml:space="preserve"> from </w:t>
      </w:r>
      <w:proofErr w:type="spellStart"/>
      <w:r w:rsidRPr="00B14CCC">
        <w:rPr>
          <w:rFonts w:ascii="Times New Roman" w:eastAsia="Times New Roman" w:hAnsi="Times New Roman" w:cs="Times New Roman"/>
          <w:i/>
          <w:iCs/>
          <w:sz w:val="24"/>
          <w:szCs w:val="24"/>
        </w:rPr>
        <w:t>Podophyllum</w:t>
      </w:r>
      <w:proofErr w:type="spellEnd"/>
      <w:r w:rsidRPr="00B14CCC">
        <w:rPr>
          <w:rFonts w:ascii="Times New Roman" w:eastAsia="Times New Roman" w:hAnsi="Times New Roman" w:cs="Times New Roman"/>
          <w:sz w:val="24"/>
          <w:szCs w:val="24"/>
        </w:rPr>
        <w:t xml:space="preserve"> species served as the lead compound for developing </w:t>
      </w:r>
      <w:proofErr w:type="spellStart"/>
      <w:r w:rsidRPr="00B14CCC">
        <w:rPr>
          <w:rFonts w:ascii="Times New Roman" w:eastAsia="Times New Roman" w:hAnsi="Times New Roman" w:cs="Times New Roman"/>
          <w:sz w:val="24"/>
          <w:szCs w:val="24"/>
        </w:rPr>
        <w:t>etoposide</w:t>
      </w:r>
      <w:proofErr w:type="spellEnd"/>
      <w:r w:rsidRPr="00B14CCC">
        <w:rPr>
          <w:rFonts w:ascii="Times New Roman" w:eastAsia="Times New Roman" w:hAnsi="Times New Roman" w:cs="Times New Roman"/>
          <w:sz w:val="24"/>
          <w:szCs w:val="24"/>
        </w:rPr>
        <w:t xml:space="preserve"> and </w:t>
      </w:r>
      <w:proofErr w:type="spellStart"/>
      <w:r w:rsidRPr="00B14CCC">
        <w:rPr>
          <w:rFonts w:ascii="Times New Roman" w:eastAsia="Times New Roman" w:hAnsi="Times New Roman" w:cs="Times New Roman"/>
          <w:sz w:val="24"/>
          <w:szCs w:val="24"/>
        </w:rPr>
        <w:t>tenuposide</w:t>
      </w:r>
      <w:proofErr w:type="spellEnd"/>
      <w:r w:rsidRPr="00B14CCC">
        <w:rPr>
          <w:rFonts w:ascii="Times New Roman" w:eastAsia="Times New Roman" w:hAnsi="Times New Roman" w:cs="Times New Roman"/>
          <w:sz w:val="24"/>
          <w:szCs w:val="24"/>
        </w:rPr>
        <w:t xml:space="preserve">, semi-synthetic derivatives used in treating various cancers including testicular cancer, lung cancer, and lymphomas. These examples demonstrate how natural products can serve as templates for medicinal chemistry efforts to </w:t>
      </w:r>
      <w:r w:rsidRPr="00B14CCC">
        <w:rPr>
          <w:rFonts w:ascii="Times New Roman" w:eastAsia="Times New Roman" w:hAnsi="Times New Roman" w:cs="Times New Roman"/>
          <w:sz w:val="24"/>
          <w:szCs w:val="24"/>
        </w:rPr>
        <w:lastRenderedPageBreak/>
        <w:t>optimize pharmacological properties while addressing limitations such as poor solubility, toxicity, or limited availability.</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Numerous medicinal plants under current investigation show promising anticancer activities in preclinical studies, though clinical validation remains limited. </w:t>
      </w:r>
      <w:proofErr w:type="spellStart"/>
      <w:r w:rsidRPr="00B14CCC">
        <w:rPr>
          <w:rFonts w:ascii="Times New Roman" w:eastAsia="Times New Roman" w:hAnsi="Times New Roman" w:cs="Times New Roman"/>
          <w:i/>
          <w:iCs/>
          <w:sz w:val="24"/>
          <w:szCs w:val="24"/>
        </w:rPr>
        <w:t>Viscum</w:t>
      </w:r>
      <w:proofErr w:type="spellEnd"/>
      <w:r w:rsidRPr="00B14CCC">
        <w:rPr>
          <w:rFonts w:ascii="Times New Roman" w:eastAsia="Times New Roman" w:hAnsi="Times New Roman" w:cs="Times New Roman"/>
          <w:i/>
          <w:iCs/>
          <w:sz w:val="24"/>
          <w:szCs w:val="24"/>
        </w:rPr>
        <w:t xml:space="preserve"> album</w:t>
      </w:r>
      <w:r w:rsidRPr="00B14CCC">
        <w:rPr>
          <w:rFonts w:ascii="Times New Roman" w:eastAsia="Times New Roman" w:hAnsi="Times New Roman" w:cs="Times New Roman"/>
          <w:sz w:val="24"/>
          <w:szCs w:val="24"/>
        </w:rPr>
        <w:t xml:space="preserve"> (European mistletoe) represents one of the most widely used complementary cancer treatments in Europe, with extracts containing </w:t>
      </w:r>
      <w:proofErr w:type="spellStart"/>
      <w:r w:rsidRPr="00B14CCC">
        <w:rPr>
          <w:rFonts w:ascii="Times New Roman" w:eastAsia="Times New Roman" w:hAnsi="Times New Roman" w:cs="Times New Roman"/>
          <w:sz w:val="24"/>
          <w:szCs w:val="24"/>
        </w:rPr>
        <w:t>lectins</w:t>
      </w:r>
      <w:proofErr w:type="spellEnd"/>
      <w:r w:rsidRPr="00B14CCC">
        <w:rPr>
          <w:rFonts w:ascii="Times New Roman" w:eastAsia="Times New Roman" w:hAnsi="Times New Roman" w:cs="Times New Roman"/>
          <w:sz w:val="24"/>
          <w:szCs w:val="24"/>
        </w:rPr>
        <w:t xml:space="preserve"> and </w:t>
      </w:r>
      <w:proofErr w:type="spellStart"/>
      <w:r w:rsidRPr="00B14CCC">
        <w:rPr>
          <w:rFonts w:ascii="Times New Roman" w:eastAsia="Times New Roman" w:hAnsi="Times New Roman" w:cs="Times New Roman"/>
          <w:sz w:val="24"/>
          <w:szCs w:val="24"/>
        </w:rPr>
        <w:t>viscotoxins</w:t>
      </w:r>
      <w:proofErr w:type="spellEnd"/>
      <w:r w:rsidRPr="00B14CCC">
        <w:rPr>
          <w:rFonts w:ascii="Times New Roman" w:eastAsia="Times New Roman" w:hAnsi="Times New Roman" w:cs="Times New Roman"/>
          <w:sz w:val="24"/>
          <w:szCs w:val="24"/>
        </w:rPr>
        <w:t xml:space="preserve"> that exhibit </w:t>
      </w:r>
      <w:proofErr w:type="spellStart"/>
      <w:r w:rsidRPr="00B14CCC">
        <w:rPr>
          <w:rFonts w:ascii="Times New Roman" w:eastAsia="Times New Roman" w:hAnsi="Times New Roman" w:cs="Times New Roman"/>
          <w:sz w:val="24"/>
          <w:szCs w:val="24"/>
        </w:rPr>
        <w:t>immunomodulatory</w:t>
      </w:r>
      <w:proofErr w:type="spellEnd"/>
      <w:r w:rsidRPr="00B14CCC">
        <w:rPr>
          <w:rFonts w:ascii="Times New Roman" w:eastAsia="Times New Roman" w:hAnsi="Times New Roman" w:cs="Times New Roman"/>
          <w:sz w:val="24"/>
          <w:szCs w:val="24"/>
        </w:rPr>
        <w:t xml:space="preserve"> and cytotoxic effects (</w:t>
      </w:r>
      <w:proofErr w:type="spellStart"/>
      <w:r w:rsidRPr="00B14CCC">
        <w:rPr>
          <w:rFonts w:ascii="Times New Roman" w:eastAsia="Times New Roman" w:hAnsi="Times New Roman" w:cs="Times New Roman"/>
          <w:sz w:val="24"/>
          <w:szCs w:val="24"/>
        </w:rPr>
        <w:t>Kienle</w:t>
      </w:r>
      <w:proofErr w:type="spellEnd"/>
      <w:r w:rsidRPr="00B14CCC">
        <w:rPr>
          <w:rFonts w:ascii="Times New Roman" w:eastAsia="Times New Roman" w:hAnsi="Times New Roman" w:cs="Times New Roman"/>
          <w:sz w:val="24"/>
          <w:szCs w:val="24"/>
        </w:rPr>
        <w:t xml:space="preserve"> &amp; </w:t>
      </w:r>
      <w:proofErr w:type="spellStart"/>
      <w:r w:rsidRPr="00B14CCC">
        <w:rPr>
          <w:rFonts w:ascii="Times New Roman" w:eastAsia="Times New Roman" w:hAnsi="Times New Roman" w:cs="Times New Roman"/>
          <w:sz w:val="24"/>
          <w:szCs w:val="24"/>
        </w:rPr>
        <w:t>Kiene</w:t>
      </w:r>
      <w:proofErr w:type="spellEnd"/>
      <w:r w:rsidRPr="00B14CCC">
        <w:rPr>
          <w:rFonts w:ascii="Times New Roman" w:eastAsia="Times New Roman" w:hAnsi="Times New Roman" w:cs="Times New Roman"/>
          <w:sz w:val="24"/>
          <w:szCs w:val="24"/>
        </w:rPr>
        <w:t>, 2010). While some clinical studies suggest improved quality of life and possibly survival benefits, evidence remains controversial and larger rigorous trials are needed. Green tea (</w:t>
      </w:r>
      <w:r w:rsidRPr="00B14CCC">
        <w:rPr>
          <w:rFonts w:ascii="Times New Roman" w:eastAsia="Times New Roman" w:hAnsi="Times New Roman" w:cs="Times New Roman"/>
          <w:i/>
          <w:iCs/>
          <w:sz w:val="24"/>
          <w:szCs w:val="24"/>
        </w:rPr>
        <w:t xml:space="preserve">Camellia </w:t>
      </w:r>
      <w:proofErr w:type="spellStart"/>
      <w:r w:rsidRPr="00B14CCC">
        <w:rPr>
          <w:rFonts w:ascii="Times New Roman" w:eastAsia="Times New Roman" w:hAnsi="Times New Roman" w:cs="Times New Roman"/>
          <w:i/>
          <w:iCs/>
          <w:sz w:val="24"/>
          <w:szCs w:val="24"/>
        </w:rPr>
        <w:t>sinensis</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catechins</w:t>
      </w:r>
      <w:proofErr w:type="spellEnd"/>
      <w:r w:rsidRPr="00B14CCC">
        <w:rPr>
          <w:rFonts w:ascii="Times New Roman" w:eastAsia="Times New Roman" w:hAnsi="Times New Roman" w:cs="Times New Roman"/>
          <w:sz w:val="24"/>
          <w:szCs w:val="24"/>
        </w:rPr>
        <w:t xml:space="preserve">, particularly </w:t>
      </w:r>
      <w:proofErr w:type="spellStart"/>
      <w:r w:rsidRPr="00B14CCC">
        <w:rPr>
          <w:rFonts w:ascii="Times New Roman" w:eastAsia="Times New Roman" w:hAnsi="Times New Roman" w:cs="Times New Roman"/>
          <w:sz w:val="24"/>
          <w:szCs w:val="24"/>
        </w:rPr>
        <w:t>epigallocatechin</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gallate</w:t>
      </w:r>
      <w:proofErr w:type="spellEnd"/>
      <w:r w:rsidRPr="00B14CCC">
        <w:rPr>
          <w:rFonts w:ascii="Times New Roman" w:eastAsia="Times New Roman" w:hAnsi="Times New Roman" w:cs="Times New Roman"/>
          <w:sz w:val="24"/>
          <w:szCs w:val="24"/>
        </w:rPr>
        <w:t xml:space="preserve"> (EGCG), demonstrate broad anticancer activities in preclinical studies through multiple mechanisms, and epidemiological studies suggest inverse associations between green tea consumption and risks of certain cancers, though clinical trial results have been mixed.</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Chemoprevention, the use of agents to prevent cancer development in high-risk individuals, represents another important application of medicinal plant compounds. Several phytochemicals have demonstrated </w:t>
      </w:r>
      <w:proofErr w:type="spellStart"/>
      <w:r w:rsidRPr="00B14CCC">
        <w:rPr>
          <w:rFonts w:ascii="Times New Roman" w:eastAsia="Times New Roman" w:hAnsi="Times New Roman" w:cs="Times New Roman"/>
          <w:sz w:val="24"/>
          <w:szCs w:val="24"/>
        </w:rPr>
        <w:t>chemopreventive</w:t>
      </w:r>
      <w:proofErr w:type="spellEnd"/>
      <w:r w:rsidRPr="00B14CCC">
        <w:rPr>
          <w:rFonts w:ascii="Times New Roman" w:eastAsia="Times New Roman" w:hAnsi="Times New Roman" w:cs="Times New Roman"/>
          <w:sz w:val="24"/>
          <w:szCs w:val="24"/>
        </w:rPr>
        <w:t xml:space="preserve"> effects in preclinical models and some clinical studies, including </w:t>
      </w:r>
      <w:proofErr w:type="spellStart"/>
      <w:r w:rsidRPr="00B14CCC">
        <w:rPr>
          <w:rFonts w:ascii="Times New Roman" w:eastAsia="Times New Roman" w:hAnsi="Times New Roman" w:cs="Times New Roman"/>
          <w:sz w:val="24"/>
          <w:szCs w:val="24"/>
        </w:rPr>
        <w:t>curcumin</w:t>
      </w:r>
      <w:proofErr w:type="spellEnd"/>
      <w:r w:rsidRPr="00B14CCC">
        <w:rPr>
          <w:rFonts w:ascii="Times New Roman" w:eastAsia="Times New Roman" w:hAnsi="Times New Roman" w:cs="Times New Roman"/>
          <w:sz w:val="24"/>
          <w:szCs w:val="24"/>
        </w:rPr>
        <w:t xml:space="preserve">, resveratrol, </w:t>
      </w:r>
      <w:proofErr w:type="spellStart"/>
      <w:r w:rsidRPr="00B14CCC">
        <w:rPr>
          <w:rFonts w:ascii="Times New Roman" w:eastAsia="Times New Roman" w:hAnsi="Times New Roman" w:cs="Times New Roman"/>
          <w:sz w:val="24"/>
          <w:szCs w:val="24"/>
        </w:rPr>
        <w:t>sulforaphane</w:t>
      </w:r>
      <w:proofErr w:type="spellEnd"/>
      <w:r w:rsidRPr="00B14CCC">
        <w:rPr>
          <w:rFonts w:ascii="Times New Roman" w:eastAsia="Times New Roman" w:hAnsi="Times New Roman" w:cs="Times New Roman"/>
          <w:sz w:val="24"/>
          <w:szCs w:val="24"/>
        </w:rPr>
        <w:t xml:space="preserve"> from cruciferous vegetables, and various flavonoids (</w:t>
      </w:r>
      <w:proofErr w:type="spellStart"/>
      <w:r w:rsidRPr="00B14CCC">
        <w:rPr>
          <w:rFonts w:ascii="Times New Roman" w:eastAsia="Times New Roman" w:hAnsi="Times New Roman" w:cs="Times New Roman"/>
          <w:sz w:val="24"/>
          <w:szCs w:val="24"/>
        </w:rPr>
        <w:t>Bishayee</w:t>
      </w:r>
      <w:proofErr w:type="spellEnd"/>
      <w:r w:rsidRPr="00B14CCC">
        <w:rPr>
          <w:rFonts w:ascii="Times New Roman" w:eastAsia="Times New Roman" w:hAnsi="Times New Roman" w:cs="Times New Roman"/>
          <w:sz w:val="24"/>
          <w:szCs w:val="24"/>
        </w:rPr>
        <w:t xml:space="preserve">, 2009). These compounds typically exhibit low toxicity and affect multiple pathways relevant to carcinogenesis, including those regulating inflammation, oxidative stress, cell proliferation, and apoptosis. The ultimate goal involves developing safe, effective </w:t>
      </w:r>
      <w:proofErr w:type="spellStart"/>
      <w:r w:rsidRPr="00B14CCC">
        <w:rPr>
          <w:rFonts w:ascii="Times New Roman" w:eastAsia="Times New Roman" w:hAnsi="Times New Roman" w:cs="Times New Roman"/>
          <w:sz w:val="24"/>
          <w:szCs w:val="24"/>
        </w:rPr>
        <w:t>chemopreventive</w:t>
      </w:r>
      <w:proofErr w:type="spellEnd"/>
      <w:r w:rsidRPr="00B14CCC">
        <w:rPr>
          <w:rFonts w:ascii="Times New Roman" w:eastAsia="Times New Roman" w:hAnsi="Times New Roman" w:cs="Times New Roman"/>
          <w:sz w:val="24"/>
          <w:szCs w:val="24"/>
        </w:rPr>
        <w:t xml:space="preserve"> agents that can reduce cancer incidence in high-risk populations, an approach that could potentially have greater impact on cancer mortality than treatment of established malignancies.</w:t>
      </w:r>
    </w:p>
    <w:p w:rsidR="000216FD" w:rsidRPr="00B14CCC" w:rsidRDefault="000216FD"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7. Quality Control, Standardization, and Challenges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translation of traditional medicinal plant knowledge into evidence-based therapeutic applications faces numerous methodological and practical challenges related to quality control, standardization, and regulatory frameworks. Unlike conventional pharmaceutical drugs consisting of single, well-defined molecular entities with consistent composition, medicinal plant materials are inherently complex, containing hundreds to thousands of compounds whose concentrations vary based on numerous factors including genotype, environmental conditions, harvest timing, post-harvest handling, and processing methods (</w:t>
      </w:r>
      <w:proofErr w:type="spellStart"/>
      <w:r w:rsidRPr="00B14CCC">
        <w:rPr>
          <w:rFonts w:ascii="Times New Roman" w:eastAsia="Times New Roman" w:hAnsi="Times New Roman" w:cs="Times New Roman"/>
          <w:sz w:val="24"/>
          <w:szCs w:val="24"/>
        </w:rPr>
        <w:t>Bilia</w:t>
      </w:r>
      <w:proofErr w:type="spellEnd"/>
      <w:r w:rsidRPr="00B14CCC">
        <w:rPr>
          <w:rFonts w:ascii="Times New Roman" w:eastAsia="Times New Roman" w:hAnsi="Times New Roman" w:cs="Times New Roman"/>
          <w:sz w:val="24"/>
          <w:szCs w:val="24"/>
        </w:rPr>
        <w:t xml:space="preserve"> et al., 2002). This inherent variability presents significant challenges for ensuring consistent quality, safety, and efficacy of herbal products, challenges that must be addressed for successful integration of traditional medicine into mainstream healthcare systems.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Authentication and identification of medicinal plant materials represent fundamental quality control requirements, as misidentification, substitution, and adulteration can result in ineffective or potentially dangerous products. Traditional identification based on macroscopic and microscopic morphological characteristics, while valuable, has limitations particularly when dealing with powdered materials or closely related species. Modern authentication approaches employ various techniques including DNA barcoding, which uses standardized </w:t>
      </w:r>
      <w:r w:rsidRPr="00B14CCC">
        <w:rPr>
          <w:rFonts w:ascii="Times New Roman" w:eastAsia="Times New Roman" w:hAnsi="Times New Roman" w:cs="Times New Roman"/>
          <w:sz w:val="24"/>
          <w:szCs w:val="24"/>
        </w:rPr>
        <w:lastRenderedPageBreak/>
        <w:t>DNA sequences to identify species; high-performance thin-layer chromatography (HPTLC) fingerprinting; and spectroscopic methods such as near-infrared (NIR) spectroscopy (</w:t>
      </w:r>
      <w:proofErr w:type="spellStart"/>
      <w:r w:rsidRPr="00B14CCC">
        <w:rPr>
          <w:rFonts w:ascii="Times New Roman" w:eastAsia="Times New Roman" w:hAnsi="Times New Roman" w:cs="Times New Roman"/>
          <w:sz w:val="24"/>
          <w:szCs w:val="24"/>
        </w:rPr>
        <w:t>Ganie</w:t>
      </w:r>
      <w:proofErr w:type="spellEnd"/>
      <w:r w:rsidRPr="00B14CCC">
        <w:rPr>
          <w:rFonts w:ascii="Times New Roman" w:eastAsia="Times New Roman" w:hAnsi="Times New Roman" w:cs="Times New Roman"/>
          <w:sz w:val="24"/>
          <w:szCs w:val="24"/>
        </w:rPr>
        <w:t xml:space="preserve"> et al., 2015). These techniques enable rapid, reliable identification of plant materials and detection of adulterants, though implementation requires technical expertise and equipment not universally available, particularly in resource-limited settings where traditional medicine use is most prevalent.</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Standardization of herbal extracts to specific levels of marker compounds represents a common approach to ensuring consistent product quality and facilitating dose-response studies. Marker compounds may be active constituents responsible for therapeutic effects, characteristic compounds useful for quality control purposes, or compounds that can be readily quantified using available analytical methods (</w:t>
      </w:r>
      <w:proofErr w:type="spellStart"/>
      <w:r w:rsidRPr="00B14CCC">
        <w:rPr>
          <w:rFonts w:ascii="Times New Roman" w:eastAsia="Times New Roman" w:hAnsi="Times New Roman" w:cs="Times New Roman"/>
          <w:sz w:val="24"/>
          <w:szCs w:val="24"/>
        </w:rPr>
        <w:t>Bansal</w:t>
      </w:r>
      <w:proofErr w:type="spellEnd"/>
      <w:r w:rsidRPr="00B14CCC">
        <w:rPr>
          <w:rFonts w:ascii="Times New Roman" w:eastAsia="Times New Roman" w:hAnsi="Times New Roman" w:cs="Times New Roman"/>
          <w:sz w:val="24"/>
          <w:szCs w:val="24"/>
        </w:rPr>
        <w:t xml:space="preserve"> et al., 2015). For example, ginkgo extracts are typically standardized to contain 24% flavone glycosides and 6% </w:t>
      </w:r>
      <w:proofErr w:type="spellStart"/>
      <w:r w:rsidRPr="00B14CCC">
        <w:rPr>
          <w:rFonts w:ascii="Times New Roman" w:eastAsia="Times New Roman" w:hAnsi="Times New Roman" w:cs="Times New Roman"/>
          <w:sz w:val="24"/>
          <w:szCs w:val="24"/>
        </w:rPr>
        <w:t>terpene</w:t>
      </w:r>
      <w:proofErr w:type="spellEnd"/>
      <w:r w:rsidRPr="00B14CCC">
        <w:rPr>
          <w:rFonts w:ascii="Times New Roman" w:eastAsia="Times New Roman" w:hAnsi="Times New Roman" w:cs="Times New Roman"/>
          <w:sz w:val="24"/>
          <w:szCs w:val="24"/>
        </w:rPr>
        <w:t xml:space="preserve"> lactones, while St. John's </w:t>
      </w:r>
      <w:proofErr w:type="spellStart"/>
      <w:r w:rsidRPr="00B14CCC">
        <w:rPr>
          <w:rFonts w:ascii="Times New Roman" w:eastAsia="Times New Roman" w:hAnsi="Times New Roman" w:cs="Times New Roman"/>
          <w:sz w:val="24"/>
          <w:szCs w:val="24"/>
        </w:rPr>
        <w:t>wort</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i/>
          <w:iCs/>
          <w:sz w:val="24"/>
          <w:szCs w:val="24"/>
        </w:rPr>
        <w:t>Hypericum</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perforatum</w:t>
      </w:r>
      <w:proofErr w:type="spellEnd"/>
      <w:r w:rsidRPr="00B14CCC">
        <w:rPr>
          <w:rFonts w:ascii="Times New Roman" w:eastAsia="Times New Roman" w:hAnsi="Times New Roman" w:cs="Times New Roman"/>
          <w:sz w:val="24"/>
          <w:szCs w:val="24"/>
        </w:rPr>
        <w:t xml:space="preserve">) extracts are standardized to 0.3% </w:t>
      </w:r>
      <w:proofErr w:type="spellStart"/>
      <w:r w:rsidRPr="00B14CCC">
        <w:rPr>
          <w:rFonts w:ascii="Times New Roman" w:eastAsia="Times New Roman" w:hAnsi="Times New Roman" w:cs="Times New Roman"/>
          <w:sz w:val="24"/>
          <w:szCs w:val="24"/>
        </w:rPr>
        <w:t>hypericin</w:t>
      </w:r>
      <w:proofErr w:type="spellEnd"/>
      <w:r w:rsidRPr="00B14CCC">
        <w:rPr>
          <w:rFonts w:ascii="Times New Roman" w:eastAsia="Times New Roman" w:hAnsi="Times New Roman" w:cs="Times New Roman"/>
          <w:sz w:val="24"/>
          <w:szCs w:val="24"/>
        </w:rPr>
        <w:t>. However, standardization to single markers has limitations, as therapeutic effects often result from multiple compounds acting synergistically, and focusing on single markers may not ensure overall product quality or efficacy. Multi-marker approaches and comprehensive phytochemical fingerprinting provide more complete quality assessment but require more sophisticated analytical methods.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Contamination of herbal products with heavy metals, pesticides, </w:t>
      </w:r>
      <w:proofErr w:type="spellStart"/>
      <w:r w:rsidRPr="00B14CCC">
        <w:rPr>
          <w:rFonts w:ascii="Times New Roman" w:eastAsia="Times New Roman" w:hAnsi="Times New Roman" w:cs="Times New Roman"/>
          <w:sz w:val="24"/>
          <w:szCs w:val="24"/>
        </w:rPr>
        <w:t>mycotoxins</w:t>
      </w:r>
      <w:proofErr w:type="spellEnd"/>
      <w:r w:rsidRPr="00B14CCC">
        <w:rPr>
          <w:rFonts w:ascii="Times New Roman" w:eastAsia="Times New Roman" w:hAnsi="Times New Roman" w:cs="Times New Roman"/>
          <w:sz w:val="24"/>
          <w:szCs w:val="24"/>
        </w:rPr>
        <w:t xml:space="preserve">, and microbial pathogens represents serious safety concerns requiring systematic monitoring and quality control measures. Heavy metal contamination can occur through absorption from contaminated soils, with plants varying in their capacity to accumulate specific metals. Studies have documented concerning levels of lead, cadmium, mercury, and arsenic in some herbal products, particularly those from regions with industrial pollution or where traditional processing involves metal containers (Ernst, 2002). Pesticide residues may result from agricultural production practices, while </w:t>
      </w:r>
      <w:proofErr w:type="spellStart"/>
      <w:r w:rsidRPr="00B14CCC">
        <w:rPr>
          <w:rFonts w:ascii="Times New Roman" w:eastAsia="Times New Roman" w:hAnsi="Times New Roman" w:cs="Times New Roman"/>
          <w:sz w:val="24"/>
          <w:szCs w:val="24"/>
        </w:rPr>
        <w:t>mycotoxins</w:t>
      </w:r>
      <w:proofErr w:type="spellEnd"/>
      <w:r w:rsidRPr="00B14CCC">
        <w:rPr>
          <w:rFonts w:ascii="Times New Roman" w:eastAsia="Times New Roman" w:hAnsi="Times New Roman" w:cs="Times New Roman"/>
          <w:sz w:val="24"/>
          <w:szCs w:val="24"/>
        </w:rPr>
        <w:t xml:space="preserve"> can contaminate improperly stored plant materials. Microbial contamination can introduce pathogenic bacteria, fungi, or their toxins, presenting particular risks for </w:t>
      </w:r>
      <w:proofErr w:type="spellStart"/>
      <w:r w:rsidRPr="00B14CCC">
        <w:rPr>
          <w:rFonts w:ascii="Times New Roman" w:eastAsia="Times New Roman" w:hAnsi="Times New Roman" w:cs="Times New Roman"/>
          <w:sz w:val="24"/>
          <w:szCs w:val="24"/>
        </w:rPr>
        <w:t>immunocompromised</w:t>
      </w:r>
      <w:proofErr w:type="spellEnd"/>
      <w:r w:rsidRPr="00B14CCC">
        <w:rPr>
          <w:rFonts w:ascii="Times New Roman" w:eastAsia="Times New Roman" w:hAnsi="Times New Roman" w:cs="Times New Roman"/>
          <w:sz w:val="24"/>
          <w:szCs w:val="24"/>
        </w:rPr>
        <w:t xml:space="preserve"> individuals. Comprehensive quality control programs must include testing for these contaminants and implementation of good agricultural and collection practices (GACP) and good manufacturing practices (GMP) to minimize contamination risks.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Regulatory frameworks for herbal medicines vary dramatically across different countries, creating challenges for international commerce and creating inconsistencies in quality assurance. The European Medicines Agency (EMA) has established rigorous requirements for traditional herbal medicinal products, including detailed quality specifications, safety data, and evidence of traditional use, while the United States Food and Drug Administration (FDA) regulates most herbal products as dietary supplements under less stringent requirements than pharmaceutical drugs (</w:t>
      </w:r>
      <w:proofErr w:type="spellStart"/>
      <w:r w:rsidRPr="00B14CCC">
        <w:rPr>
          <w:rFonts w:ascii="Times New Roman" w:eastAsia="Times New Roman" w:hAnsi="Times New Roman" w:cs="Times New Roman"/>
          <w:sz w:val="24"/>
          <w:szCs w:val="24"/>
        </w:rPr>
        <w:t>Ekor</w:t>
      </w:r>
      <w:proofErr w:type="spellEnd"/>
      <w:r w:rsidRPr="00B14CCC">
        <w:rPr>
          <w:rFonts w:ascii="Times New Roman" w:eastAsia="Times New Roman" w:hAnsi="Times New Roman" w:cs="Times New Roman"/>
          <w:sz w:val="24"/>
          <w:szCs w:val="24"/>
        </w:rPr>
        <w:t>, 2014). Many developing countries lack comprehensive regulatory frameworks for herbal medicines, potentially allowing substandard products to enter the market. Harmonization of international standards and regulatory approaches, such as efforts by the World Health Organization to develop international quality standards for herbal medicines, could improve global product quality and consumer safety.</w:t>
      </w:r>
    </w:p>
    <w:p w:rsidR="000216FD" w:rsidRPr="00B14CCC" w:rsidRDefault="000216FD"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lastRenderedPageBreak/>
        <w:t>8. Conservation, Sustainability, and Ethical Considerations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increasing global demand for medicinal plants, driven by growing interest in natural products, population growth, and commercialization of traditional medicine, has created significant conservation challenges threatening numerous medicinal plant species and the ecosystems they inhabit. </w:t>
      </w:r>
      <w:proofErr w:type="gramStart"/>
      <w:r w:rsidRPr="00B14CCC">
        <w:rPr>
          <w:rFonts w:ascii="Times New Roman" w:eastAsia="Times New Roman" w:hAnsi="Times New Roman" w:cs="Times New Roman"/>
          <w:sz w:val="24"/>
          <w:szCs w:val="24"/>
        </w:rPr>
        <w:t>The World Wildlife Fund and International Union for Conservation of Nature estimate that approximately 15,000 medicinal plant species face potential extinction due to overharvesting, habitat destruction, and climate change (</w:t>
      </w:r>
      <w:proofErr w:type="spellStart"/>
      <w:r w:rsidRPr="00B14CCC">
        <w:rPr>
          <w:rFonts w:ascii="Times New Roman" w:eastAsia="Times New Roman" w:hAnsi="Times New Roman" w:cs="Times New Roman"/>
          <w:sz w:val="24"/>
          <w:szCs w:val="24"/>
        </w:rPr>
        <w:t>Schippmann</w:t>
      </w:r>
      <w:proofErr w:type="spellEnd"/>
      <w:r w:rsidRPr="00B14CCC">
        <w:rPr>
          <w:rFonts w:ascii="Times New Roman" w:eastAsia="Times New Roman" w:hAnsi="Times New Roman" w:cs="Times New Roman"/>
          <w:sz w:val="24"/>
          <w:szCs w:val="24"/>
        </w:rPr>
        <w:t xml:space="preserve"> et al., 2002).</w:t>
      </w:r>
      <w:proofErr w:type="gramEnd"/>
      <w:r w:rsidRPr="00B14CCC">
        <w:rPr>
          <w:rFonts w:ascii="Times New Roman" w:eastAsia="Times New Roman" w:hAnsi="Times New Roman" w:cs="Times New Roman"/>
          <w:sz w:val="24"/>
          <w:szCs w:val="24"/>
        </w:rPr>
        <w:t xml:space="preserve"> This biodiversity loss threatens not only individual species but also traditional knowledge systems dependent on these resources and future opportunities for discovering novel therapeutic compounds. Addressing these conservation challenges requires integrated approaches combining sustainable harvesting practices, cultivation initiatives, policy interventions, and engagement with indigenous communities.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Overharvesting represents the most direct threat to medicinal plant populations, particularly for slow-growing species, those harvested for underground parts (roots, rhizomes, tubers), or species with narrow geographical distributions. Examples of severely threatened species due to overharvesting include American ginseng (</w:t>
      </w:r>
      <w:proofErr w:type="spellStart"/>
      <w:r w:rsidRPr="00B14CCC">
        <w:rPr>
          <w:rFonts w:ascii="Times New Roman" w:eastAsia="Times New Roman" w:hAnsi="Times New Roman" w:cs="Times New Roman"/>
          <w:i/>
          <w:iCs/>
          <w:sz w:val="24"/>
          <w:szCs w:val="24"/>
        </w:rPr>
        <w:t>Panax</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quinquefolius</w:t>
      </w:r>
      <w:proofErr w:type="spellEnd"/>
      <w:r w:rsidRPr="00B14CCC">
        <w:rPr>
          <w:rFonts w:ascii="Times New Roman" w:eastAsia="Times New Roman" w:hAnsi="Times New Roman" w:cs="Times New Roman"/>
          <w:sz w:val="24"/>
          <w:szCs w:val="24"/>
        </w:rPr>
        <w:t>), goldenseal (</w:t>
      </w:r>
      <w:proofErr w:type="spellStart"/>
      <w:r w:rsidRPr="00B14CCC">
        <w:rPr>
          <w:rFonts w:ascii="Times New Roman" w:eastAsia="Times New Roman" w:hAnsi="Times New Roman" w:cs="Times New Roman"/>
          <w:i/>
          <w:iCs/>
          <w:sz w:val="24"/>
          <w:szCs w:val="24"/>
        </w:rPr>
        <w:t>Hydrastis</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canadensis</w:t>
      </w:r>
      <w:proofErr w:type="spellEnd"/>
      <w:r w:rsidRPr="00B14CCC">
        <w:rPr>
          <w:rFonts w:ascii="Times New Roman" w:eastAsia="Times New Roman" w:hAnsi="Times New Roman" w:cs="Times New Roman"/>
          <w:sz w:val="24"/>
          <w:szCs w:val="24"/>
        </w:rPr>
        <w:t>), and numerous orchid species used in traditional medicine (</w:t>
      </w:r>
      <w:proofErr w:type="spellStart"/>
      <w:r w:rsidRPr="00B14CCC">
        <w:rPr>
          <w:rFonts w:ascii="Times New Roman" w:eastAsia="Times New Roman" w:hAnsi="Times New Roman" w:cs="Times New Roman"/>
          <w:sz w:val="24"/>
          <w:szCs w:val="24"/>
        </w:rPr>
        <w:t>Schippmann</w:t>
      </w:r>
      <w:proofErr w:type="spellEnd"/>
      <w:r w:rsidRPr="00B14CCC">
        <w:rPr>
          <w:rFonts w:ascii="Times New Roman" w:eastAsia="Times New Roman" w:hAnsi="Times New Roman" w:cs="Times New Roman"/>
          <w:sz w:val="24"/>
          <w:szCs w:val="24"/>
        </w:rPr>
        <w:t xml:space="preserve"> et al., 2002). The transition from primarily local use to commercial production and international trade has dramatically increased harvesting pressure on wild populations, with harvesters often lacking incentives for sustainable practices when operating in poorly regulated markets. Additionally, the loss of traditional ecological knowledge and harvesting practices among younger generations has contributed to more destructive harvesting methods that damage plant populations and habitats.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Sustainable cultivation of medicinal plants represents one important strategy for meeting demand while reducing pressure on wild populations. Cultivation enables controlled growing conditions, more consistent product quality, and regular supply independent of wild population status. However, cultivation faces various challenges including agronomic knowledge gaps, long maturation times for some species, altered phytochemical profiles compared to wild plants due to different growing conditions, and economic considerations that may make wild harvesting more profitable in the short term (</w:t>
      </w:r>
      <w:proofErr w:type="spellStart"/>
      <w:r w:rsidRPr="00B14CCC">
        <w:rPr>
          <w:rFonts w:ascii="Times New Roman" w:eastAsia="Times New Roman" w:hAnsi="Times New Roman" w:cs="Times New Roman"/>
          <w:sz w:val="24"/>
          <w:szCs w:val="24"/>
        </w:rPr>
        <w:t>Schippmann</w:t>
      </w:r>
      <w:proofErr w:type="spellEnd"/>
      <w:r w:rsidRPr="00B14CCC">
        <w:rPr>
          <w:rFonts w:ascii="Times New Roman" w:eastAsia="Times New Roman" w:hAnsi="Times New Roman" w:cs="Times New Roman"/>
          <w:sz w:val="24"/>
          <w:szCs w:val="24"/>
        </w:rPr>
        <w:t xml:space="preserve"> et al., 2002). Furthermore, some traditional medicine practitioners and consumers perceive wild-harvested materials as superior to cultivated ones, creating market preferences that perpetuate pressure on wild populations. Addressing these challenges requires integrated research on cultivation practices, market education, quality comparisons between wild and cultivated materials, and economic incentives supporting cultivation.</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Habitat destruction through agricultural expansion, urbanization, logging, and other land use changes represents another major threat to medicinal plant biodiversity. Many medicinal plants require specific ecological conditions found only in particular habitats, such as old-growth forests, wetlands, or specialized soil types, making them particularly vulnerable to habitat loss. Climate change adds another dimension of threat through altering temperature and precipitation patterns, potentially shifting suitable habitats beyond plant species' dispersal </w:t>
      </w:r>
      <w:r w:rsidRPr="00B14CCC">
        <w:rPr>
          <w:rFonts w:ascii="Times New Roman" w:eastAsia="Times New Roman" w:hAnsi="Times New Roman" w:cs="Times New Roman"/>
          <w:sz w:val="24"/>
          <w:szCs w:val="24"/>
        </w:rPr>
        <w:lastRenderedPageBreak/>
        <w:t>capabilities and affecting phytochemical composition (</w:t>
      </w:r>
      <w:proofErr w:type="spellStart"/>
      <w:r w:rsidRPr="00B14CCC">
        <w:rPr>
          <w:rFonts w:ascii="Times New Roman" w:eastAsia="Times New Roman" w:hAnsi="Times New Roman" w:cs="Times New Roman"/>
          <w:sz w:val="24"/>
          <w:szCs w:val="24"/>
        </w:rPr>
        <w:t>Applequist</w:t>
      </w:r>
      <w:proofErr w:type="spellEnd"/>
      <w:r w:rsidRPr="00B14CCC">
        <w:rPr>
          <w:rFonts w:ascii="Times New Roman" w:eastAsia="Times New Roman" w:hAnsi="Times New Roman" w:cs="Times New Roman"/>
          <w:sz w:val="24"/>
          <w:szCs w:val="24"/>
        </w:rPr>
        <w:t xml:space="preserve"> et al., 2020). Protected areas play important roles in conserving medicinal plant diversity, though coverage remains insufficient and many protected areas face enforcement challenges. Integration of medicinal plant conservation into broader ecosystem management approaches, including sustainable forestry practices and agroforestry systems, can help maintain populations while allowing continued use.</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Intellectual property rights and benefit-sharing arrangements represent critical ethical considerations in </w:t>
      </w:r>
      <w:proofErr w:type="spellStart"/>
      <w:r w:rsidRPr="00B14CCC">
        <w:rPr>
          <w:rFonts w:ascii="Times New Roman" w:eastAsia="Times New Roman" w:hAnsi="Times New Roman" w:cs="Times New Roman"/>
          <w:sz w:val="24"/>
          <w:szCs w:val="24"/>
        </w:rPr>
        <w:t>ethnopharmacological</w:t>
      </w:r>
      <w:proofErr w:type="spellEnd"/>
      <w:r w:rsidRPr="00B14CCC">
        <w:rPr>
          <w:rFonts w:ascii="Times New Roman" w:eastAsia="Times New Roman" w:hAnsi="Times New Roman" w:cs="Times New Roman"/>
          <w:sz w:val="24"/>
          <w:szCs w:val="24"/>
        </w:rPr>
        <w:t xml:space="preserve"> research and development of medicines based on traditional knowledge. The Convention on Biological Diversity (CBD), adopted in 1992, established principles recognizing sovereign rights of nations over their genetic resources and requiring prior informed consent for access, fair and equitable benefit-sharing, and respect for traditional knowledge. The Nagoya Protocol, which entered into force in 2014, provides a more detailed legal framework for implementing these principles (Bagley, 2015). However, implementation remains challenging due to complexities in defining traditional knowledge holders, establishing appropriate benefit-sharing mechanisms, and resolving conflicts between different legal systems and cultural perspectives on knowledge ownership.</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Numerous cases of </w:t>
      </w:r>
      <w:proofErr w:type="spellStart"/>
      <w:r w:rsidRPr="00B14CCC">
        <w:rPr>
          <w:rFonts w:ascii="Times New Roman" w:eastAsia="Times New Roman" w:hAnsi="Times New Roman" w:cs="Times New Roman"/>
          <w:sz w:val="24"/>
          <w:szCs w:val="24"/>
        </w:rPr>
        <w:t>biopiracy</w:t>
      </w:r>
      <w:proofErr w:type="spellEnd"/>
      <w:r w:rsidRPr="00B14CCC">
        <w:rPr>
          <w:rFonts w:ascii="Times New Roman" w:eastAsia="Times New Roman" w:hAnsi="Times New Roman" w:cs="Times New Roman"/>
          <w:sz w:val="24"/>
          <w:szCs w:val="24"/>
        </w:rPr>
        <w:t xml:space="preserve">, where traditional knowledge or genetic resources are exploited without appropriate consent or benefit-sharing, have occurred in medicinal plant research and development. Notable examples include patents on turmeric, </w:t>
      </w:r>
      <w:proofErr w:type="spellStart"/>
      <w:r w:rsidRPr="00B14CCC">
        <w:rPr>
          <w:rFonts w:ascii="Times New Roman" w:eastAsia="Times New Roman" w:hAnsi="Times New Roman" w:cs="Times New Roman"/>
          <w:sz w:val="24"/>
          <w:szCs w:val="24"/>
        </w:rPr>
        <w:t>neem</w:t>
      </w:r>
      <w:proofErr w:type="spellEnd"/>
      <w:r w:rsidRPr="00B14CCC">
        <w:rPr>
          <w:rFonts w:ascii="Times New Roman" w:eastAsia="Times New Roman" w:hAnsi="Times New Roman" w:cs="Times New Roman"/>
          <w:sz w:val="24"/>
          <w:szCs w:val="24"/>
        </w:rPr>
        <w:t xml:space="preserve">, and </w:t>
      </w:r>
      <w:proofErr w:type="spellStart"/>
      <w:r w:rsidRPr="00B14CCC">
        <w:rPr>
          <w:rFonts w:ascii="Times New Roman" w:eastAsia="Times New Roman" w:hAnsi="Times New Roman" w:cs="Times New Roman"/>
          <w:sz w:val="24"/>
          <w:szCs w:val="24"/>
        </w:rPr>
        <w:t>ayahuasca</w:t>
      </w:r>
      <w:proofErr w:type="spellEnd"/>
      <w:r w:rsidRPr="00B14CCC">
        <w:rPr>
          <w:rFonts w:ascii="Times New Roman" w:eastAsia="Times New Roman" w:hAnsi="Times New Roman" w:cs="Times New Roman"/>
          <w:sz w:val="24"/>
          <w:szCs w:val="24"/>
        </w:rPr>
        <w:t xml:space="preserve"> that indigenous communities and countries challenged based on prior use and lack of novelty (Robinson, 2010). Such cases have generated justified concerns within indigenous communities regarding research collaborations and have highlighted needs for more equitable partnerships. Best practices in </w:t>
      </w:r>
      <w:proofErr w:type="spellStart"/>
      <w:r w:rsidRPr="00B14CCC">
        <w:rPr>
          <w:rFonts w:ascii="Times New Roman" w:eastAsia="Times New Roman" w:hAnsi="Times New Roman" w:cs="Times New Roman"/>
          <w:sz w:val="24"/>
          <w:szCs w:val="24"/>
        </w:rPr>
        <w:t>ethnopharmacological</w:t>
      </w:r>
      <w:proofErr w:type="spellEnd"/>
      <w:r w:rsidRPr="00B14CCC">
        <w:rPr>
          <w:rFonts w:ascii="Times New Roman" w:eastAsia="Times New Roman" w:hAnsi="Times New Roman" w:cs="Times New Roman"/>
          <w:sz w:val="24"/>
          <w:szCs w:val="24"/>
        </w:rPr>
        <w:t xml:space="preserve"> research now emphasize participatory approaches involving indigenous communities throughout the research process, prior informed consent procedures, transparent benefit-sharing agreements, and capacity building within indigenous communities to enable them to participate more fully in research and development processes.</w:t>
      </w:r>
    </w:p>
    <w:p w:rsidR="000216FD" w:rsidRPr="00B14CCC" w:rsidRDefault="000216FD"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9. Integration with Modern Healthcare Systems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integration of validated traditional medicinal plants into modern healthcare systems represents both an opportunity to expand therapeutic options and a challenge requiring careful consideration of safety, efficacy, standardization, and appropriate use contexts. The World Health Organization has actively promoted integration of traditional and complementary medicine into national healthcare systems, particularly in resource-limited settings where traditional medicine already serves as the primary source of healthcare for large populations. However, successful integration requires addressing various conceptual, practical, and regulatory challenges while respecting both traditional knowledge systems and evidence-based medicine standards (WHO, 2013).</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Evidence-based approaches to evaluating medicinal plants necessarily differ from those employed for conventional pharmaceutical drugs, given the inherent complexity of botanical preparations and the holistic context of traditional use. While randomized controlled trials </w:t>
      </w:r>
      <w:r w:rsidRPr="00B14CCC">
        <w:rPr>
          <w:rFonts w:ascii="Times New Roman" w:eastAsia="Times New Roman" w:hAnsi="Times New Roman" w:cs="Times New Roman"/>
          <w:sz w:val="24"/>
          <w:szCs w:val="24"/>
        </w:rPr>
        <w:lastRenderedPageBreak/>
        <w:t>(RCTs) represent the gold standard for evaluating therapeutic interventions, applying this methodology to medicinal plants faces challenges related to standardization, appropriate comparators, outcome measures that capture holistic benefits, and trial designs that accommodate personalized approaches characteristic of traditional medicine (</w:t>
      </w:r>
      <w:proofErr w:type="spellStart"/>
      <w:r w:rsidRPr="00B14CCC">
        <w:rPr>
          <w:rFonts w:ascii="Times New Roman" w:eastAsia="Times New Roman" w:hAnsi="Times New Roman" w:cs="Times New Roman"/>
          <w:sz w:val="24"/>
          <w:szCs w:val="24"/>
        </w:rPr>
        <w:t>Fønnebø</w:t>
      </w:r>
      <w:proofErr w:type="spellEnd"/>
      <w:r w:rsidRPr="00B14CCC">
        <w:rPr>
          <w:rFonts w:ascii="Times New Roman" w:eastAsia="Times New Roman" w:hAnsi="Times New Roman" w:cs="Times New Roman"/>
          <w:sz w:val="24"/>
          <w:szCs w:val="24"/>
        </w:rPr>
        <w:t xml:space="preserve"> et al., 2007). Nevertheless, numerous high-quality RCTs have demonstrated efficacy of specific medicinal plant preparations for particular conditions, providing evidence supporting integration into conventional practice. Examples include St. John's </w:t>
      </w:r>
      <w:proofErr w:type="spellStart"/>
      <w:r w:rsidRPr="00B14CCC">
        <w:rPr>
          <w:rFonts w:ascii="Times New Roman" w:eastAsia="Times New Roman" w:hAnsi="Times New Roman" w:cs="Times New Roman"/>
          <w:sz w:val="24"/>
          <w:szCs w:val="24"/>
        </w:rPr>
        <w:t>wort</w:t>
      </w:r>
      <w:proofErr w:type="spellEnd"/>
      <w:r w:rsidRPr="00B14CCC">
        <w:rPr>
          <w:rFonts w:ascii="Times New Roman" w:eastAsia="Times New Roman" w:hAnsi="Times New Roman" w:cs="Times New Roman"/>
          <w:sz w:val="24"/>
          <w:szCs w:val="24"/>
        </w:rPr>
        <w:t xml:space="preserve"> for mild to moderate depression, saw palmetto (</w:t>
      </w:r>
      <w:proofErr w:type="spellStart"/>
      <w:r w:rsidRPr="00B14CCC">
        <w:rPr>
          <w:rFonts w:ascii="Times New Roman" w:eastAsia="Times New Roman" w:hAnsi="Times New Roman" w:cs="Times New Roman"/>
          <w:i/>
          <w:iCs/>
          <w:sz w:val="24"/>
          <w:szCs w:val="24"/>
        </w:rPr>
        <w:t>Serenoa</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repens</w:t>
      </w:r>
      <w:proofErr w:type="spellEnd"/>
      <w:r w:rsidRPr="00B14CCC">
        <w:rPr>
          <w:rFonts w:ascii="Times New Roman" w:eastAsia="Times New Roman" w:hAnsi="Times New Roman" w:cs="Times New Roman"/>
          <w:sz w:val="24"/>
          <w:szCs w:val="24"/>
        </w:rPr>
        <w:t>) for benign prostatic hyperplasia, and various preparations for supportive cancer care.</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Comparative effectiveness research examining how medicinal plant interventions perform relative to conventional treatments in real-world settings provides valuable evidence for clinical decision-making. Such studies often reveal that medicinal plant preparations demonstrate efficacy comparable to conventional drugs for certain conditions while potentially offering advantages regarding adverse effect profiles, patient acceptability, or cost-effectiveness (Witt et al., 2011). For example, comparative studies have shown that devil's claw (</w:t>
      </w:r>
      <w:proofErr w:type="spellStart"/>
      <w:r w:rsidRPr="00B14CCC">
        <w:rPr>
          <w:rFonts w:ascii="Times New Roman" w:eastAsia="Times New Roman" w:hAnsi="Times New Roman" w:cs="Times New Roman"/>
          <w:i/>
          <w:iCs/>
          <w:sz w:val="24"/>
          <w:szCs w:val="24"/>
        </w:rPr>
        <w:t>Harpagophytum</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procumbens</w:t>
      </w:r>
      <w:proofErr w:type="spellEnd"/>
      <w:r w:rsidRPr="00B14CCC">
        <w:rPr>
          <w:rFonts w:ascii="Times New Roman" w:eastAsia="Times New Roman" w:hAnsi="Times New Roman" w:cs="Times New Roman"/>
          <w:sz w:val="24"/>
          <w:szCs w:val="24"/>
        </w:rPr>
        <w:t>) demonstrates comparable efficacy to NSAIDs for treating osteoarthritis pain with fewer gastrointestinal side effects, supporting its use as an alternative or complementary treatment. However, rigorous comparative effectiveness research on medicinal plants remains limited, and expanded research in this area could better inform integration decisions.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Safety monitoring of herbal medicines requires systematic </w:t>
      </w:r>
      <w:proofErr w:type="spellStart"/>
      <w:r w:rsidRPr="00B14CCC">
        <w:rPr>
          <w:rFonts w:ascii="Times New Roman" w:eastAsia="Times New Roman" w:hAnsi="Times New Roman" w:cs="Times New Roman"/>
          <w:sz w:val="24"/>
          <w:szCs w:val="24"/>
        </w:rPr>
        <w:t>pharmacovigilance</w:t>
      </w:r>
      <w:proofErr w:type="spellEnd"/>
      <w:r w:rsidRPr="00B14CCC">
        <w:rPr>
          <w:rFonts w:ascii="Times New Roman" w:eastAsia="Times New Roman" w:hAnsi="Times New Roman" w:cs="Times New Roman"/>
          <w:sz w:val="24"/>
          <w:szCs w:val="24"/>
        </w:rPr>
        <w:t xml:space="preserve"> programs to detect adverse events, herb-drug interactions, and quality problems that may emerge during widespread use. While medicinal plants are often perceived as inherently safe due to their natural origins and traditional use, serious adverse events can occur through various mechanisms including intrinsic toxicity, allergic reactions, contamination, misidentification, inappropriate use, and interactions with conventional medications (</w:t>
      </w:r>
      <w:proofErr w:type="spellStart"/>
      <w:r w:rsidRPr="00B14CCC">
        <w:rPr>
          <w:rFonts w:ascii="Times New Roman" w:eastAsia="Times New Roman" w:hAnsi="Times New Roman" w:cs="Times New Roman"/>
          <w:sz w:val="24"/>
          <w:szCs w:val="24"/>
        </w:rPr>
        <w:t>Ekor</w:t>
      </w:r>
      <w:proofErr w:type="spellEnd"/>
      <w:r w:rsidRPr="00B14CCC">
        <w:rPr>
          <w:rFonts w:ascii="Times New Roman" w:eastAsia="Times New Roman" w:hAnsi="Times New Roman" w:cs="Times New Roman"/>
          <w:sz w:val="24"/>
          <w:szCs w:val="24"/>
        </w:rPr>
        <w:t>, 2014). Established adverse events associated with specific herbs include hepatotoxicity from kava (</w:t>
      </w:r>
      <w:r w:rsidRPr="00B14CCC">
        <w:rPr>
          <w:rFonts w:ascii="Times New Roman" w:eastAsia="Times New Roman" w:hAnsi="Times New Roman" w:cs="Times New Roman"/>
          <w:i/>
          <w:iCs/>
          <w:sz w:val="24"/>
          <w:szCs w:val="24"/>
        </w:rPr>
        <w:t xml:space="preserve">Piper </w:t>
      </w:r>
      <w:proofErr w:type="spellStart"/>
      <w:r w:rsidRPr="00B14CCC">
        <w:rPr>
          <w:rFonts w:ascii="Times New Roman" w:eastAsia="Times New Roman" w:hAnsi="Times New Roman" w:cs="Times New Roman"/>
          <w:i/>
          <w:iCs/>
          <w:sz w:val="24"/>
          <w:szCs w:val="24"/>
        </w:rPr>
        <w:t>methysticum</w:t>
      </w:r>
      <w:proofErr w:type="spellEnd"/>
      <w:r w:rsidRPr="00B14CCC">
        <w:rPr>
          <w:rFonts w:ascii="Times New Roman" w:eastAsia="Times New Roman" w:hAnsi="Times New Roman" w:cs="Times New Roman"/>
          <w:sz w:val="24"/>
          <w:szCs w:val="24"/>
        </w:rPr>
        <w:t xml:space="preserve">) and various traditional Chinese medicines containing </w:t>
      </w:r>
      <w:proofErr w:type="spellStart"/>
      <w:r w:rsidRPr="00B14CCC">
        <w:rPr>
          <w:rFonts w:ascii="Times New Roman" w:eastAsia="Times New Roman" w:hAnsi="Times New Roman" w:cs="Times New Roman"/>
          <w:sz w:val="24"/>
          <w:szCs w:val="24"/>
        </w:rPr>
        <w:t>aristolochic</w:t>
      </w:r>
      <w:proofErr w:type="spellEnd"/>
      <w:r w:rsidRPr="00B14CCC">
        <w:rPr>
          <w:rFonts w:ascii="Times New Roman" w:eastAsia="Times New Roman" w:hAnsi="Times New Roman" w:cs="Times New Roman"/>
          <w:sz w:val="24"/>
          <w:szCs w:val="24"/>
        </w:rPr>
        <w:t xml:space="preserve"> acid, nephrotoxicity from </w:t>
      </w:r>
      <w:proofErr w:type="spellStart"/>
      <w:r w:rsidRPr="00B14CCC">
        <w:rPr>
          <w:rFonts w:ascii="Times New Roman" w:eastAsia="Times New Roman" w:hAnsi="Times New Roman" w:cs="Times New Roman"/>
          <w:sz w:val="24"/>
          <w:szCs w:val="24"/>
        </w:rPr>
        <w:t>aristolochic</w:t>
      </w:r>
      <w:proofErr w:type="spellEnd"/>
      <w:r w:rsidRPr="00B14CCC">
        <w:rPr>
          <w:rFonts w:ascii="Times New Roman" w:eastAsia="Times New Roman" w:hAnsi="Times New Roman" w:cs="Times New Roman"/>
          <w:sz w:val="24"/>
          <w:szCs w:val="24"/>
        </w:rPr>
        <w:t xml:space="preserve"> acid-containing herbs, and cardiovascular effects from ephedra (</w:t>
      </w:r>
      <w:r w:rsidRPr="00B14CCC">
        <w:rPr>
          <w:rFonts w:ascii="Times New Roman" w:eastAsia="Times New Roman" w:hAnsi="Times New Roman" w:cs="Times New Roman"/>
          <w:i/>
          <w:iCs/>
          <w:sz w:val="24"/>
          <w:szCs w:val="24"/>
        </w:rPr>
        <w:t xml:space="preserve">Ephedra </w:t>
      </w:r>
      <w:proofErr w:type="spellStart"/>
      <w:r w:rsidRPr="00B14CCC">
        <w:rPr>
          <w:rFonts w:ascii="Times New Roman" w:eastAsia="Times New Roman" w:hAnsi="Times New Roman" w:cs="Times New Roman"/>
          <w:i/>
          <w:iCs/>
          <w:sz w:val="24"/>
          <w:szCs w:val="24"/>
        </w:rPr>
        <w:t>sinica</w:t>
      </w:r>
      <w:proofErr w:type="spellEnd"/>
      <w:r w:rsidRPr="00B14CCC">
        <w:rPr>
          <w:rFonts w:ascii="Times New Roman" w:eastAsia="Times New Roman" w:hAnsi="Times New Roman" w:cs="Times New Roman"/>
          <w:sz w:val="24"/>
          <w:szCs w:val="24"/>
        </w:rPr>
        <w:t>). Systematic reporting systems and active surveillance programs are essential for identifying safety signals and ensuring appropriate risk management.</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Herb-drug interactions represent an important safety consideration when medicinal plants are used concurrently with conventional medications, as pharmacokinetic and </w:t>
      </w:r>
      <w:proofErr w:type="spellStart"/>
      <w:r w:rsidRPr="00B14CCC">
        <w:rPr>
          <w:rFonts w:ascii="Times New Roman" w:eastAsia="Times New Roman" w:hAnsi="Times New Roman" w:cs="Times New Roman"/>
          <w:sz w:val="24"/>
          <w:szCs w:val="24"/>
        </w:rPr>
        <w:t>pharmacodynamic</w:t>
      </w:r>
      <w:proofErr w:type="spellEnd"/>
      <w:r w:rsidRPr="00B14CCC">
        <w:rPr>
          <w:rFonts w:ascii="Times New Roman" w:eastAsia="Times New Roman" w:hAnsi="Times New Roman" w:cs="Times New Roman"/>
          <w:sz w:val="24"/>
          <w:szCs w:val="24"/>
        </w:rPr>
        <w:t xml:space="preserve"> interactions can alter drug levels or effects, potentially compromising efficacy or increasing toxicity. Clinically significant interactions have been documented for several widely used medicinal plants. St. John's </w:t>
      </w:r>
      <w:proofErr w:type="spellStart"/>
      <w:r w:rsidRPr="00B14CCC">
        <w:rPr>
          <w:rFonts w:ascii="Times New Roman" w:eastAsia="Times New Roman" w:hAnsi="Times New Roman" w:cs="Times New Roman"/>
          <w:sz w:val="24"/>
          <w:szCs w:val="24"/>
        </w:rPr>
        <w:t>wort</w:t>
      </w:r>
      <w:proofErr w:type="spellEnd"/>
      <w:r w:rsidRPr="00B14CCC">
        <w:rPr>
          <w:rFonts w:ascii="Times New Roman" w:eastAsia="Times New Roman" w:hAnsi="Times New Roman" w:cs="Times New Roman"/>
          <w:sz w:val="24"/>
          <w:szCs w:val="24"/>
        </w:rPr>
        <w:t xml:space="preserve"> induces cytochrome P450 enzymes and P-glycoprotein, accelerating metabolism and increasing clearance of numerous drugs including oral contraceptives, anticoagulants, </w:t>
      </w:r>
      <w:proofErr w:type="spellStart"/>
      <w:r w:rsidRPr="00B14CCC">
        <w:rPr>
          <w:rFonts w:ascii="Times New Roman" w:eastAsia="Times New Roman" w:hAnsi="Times New Roman" w:cs="Times New Roman"/>
          <w:sz w:val="24"/>
          <w:szCs w:val="24"/>
        </w:rPr>
        <w:t>immunosuppressants</w:t>
      </w:r>
      <w:proofErr w:type="spellEnd"/>
      <w:r w:rsidRPr="00B14CCC">
        <w:rPr>
          <w:rFonts w:ascii="Times New Roman" w:eastAsia="Times New Roman" w:hAnsi="Times New Roman" w:cs="Times New Roman"/>
          <w:sz w:val="24"/>
          <w:szCs w:val="24"/>
        </w:rPr>
        <w:t>, and antiretroviral medications, potentially leading to treatment failures (</w:t>
      </w:r>
      <w:proofErr w:type="spellStart"/>
      <w:r w:rsidRPr="00B14CCC">
        <w:rPr>
          <w:rFonts w:ascii="Times New Roman" w:eastAsia="Times New Roman" w:hAnsi="Times New Roman" w:cs="Times New Roman"/>
          <w:sz w:val="24"/>
          <w:szCs w:val="24"/>
        </w:rPr>
        <w:t>Izzo</w:t>
      </w:r>
      <w:proofErr w:type="spellEnd"/>
      <w:r w:rsidRPr="00B14CCC">
        <w:rPr>
          <w:rFonts w:ascii="Times New Roman" w:eastAsia="Times New Roman" w:hAnsi="Times New Roman" w:cs="Times New Roman"/>
          <w:sz w:val="24"/>
          <w:szCs w:val="24"/>
        </w:rPr>
        <w:t xml:space="preserve"> &amp; Ernst, 2009). Ginkgo and garlic possess antiplatelet effects that may increase bleeding risk when combined with anticoagulants or antiplatelet drugs. Comprehensive databases documenting herb-drug interactions and clinical </w:t>
      </w:r>
      <w:r w:rsidRPr="00B14CCC">
        <w:rPr>
          <w:rFonts w:ascii="Times New Roman" w:eastAsia="Times New Roman" w:hAnsi="Times New Roman" w:cs="Times New Roman"/>
          <w:sz w:val="24"/>
          <w:szCs w:val="24"/>
        </w:rPr>
        <w:lastRenderedPageBreak/>
        <w:t>decision support tools can help healthcare providers identify and manage potential interactions, though knowledge gaps remain regarding many combinations.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Integration models vary across healthcare systems, ranging from complete separation of traditional and conventional medicine to various degrees of integration. Integrative medicine approaches, which seek to combine the best of both conventional and traditional/complementary approaches within coordinated treatment plans, have gained prominence in many developed countries. Such approaches typically emphasize evidence-based selection of interventions from both conventional and traditional medicine, coordination among different practitioners, and patient-centered care that considers individual preferences and values (</w:t>
      </w:r>
      <w:proofErr w:type="spellStart"/>
      <w:r w:rsidRPr="00B14CCC">
        <w:rPr>
          <w:rFonts w:ascii="Times New Roman" w:eastAsia="Times New Roman" w:hAnsi="Times New Roman" w:cs="Times New Roman"/>
          <w:sz w:val="24"/>
          <w:szCs w:val="24"/>
        </w:rPr>
        <w:t>Maizes</w:t>
      </w:r>
      <w:proofErr w:type="spellEnd"/>
      <w:r w:rsidRPr="00B14CCC">
        <w:rPr>
          <w:rFonts w:ascii="Times New Roman" w:eastAsia="Times New Roman" w:hAnsi="Times New Roman" w:cs="Times New Roman"/>
          <w:sz w:val="24"/>
          <w:szCs w:val="24"/>
        </w:rPr>
        <w:t xml:space="preserve"> et al., 2009). In many Asian countries, parallel systems exist with separate conventional and traditional medicine practitioners and facilities, though increasing efforts promote communication and coordination between systems. In some African and Latin American countries, efforts focus on integrating traditional healers</w:t>
      </w:r>
      <w:r w:rsid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sz w:val="24"/>
          <w:szCs w:val="24"/>
        </w:rPr>
        <w:t>into primary healthcare teams, recognizing their cultural significance and accessibility, particularly in rural areas where conventional healthcare infrastructure is limited.</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Education and training represent critical components of successful integration, requiring both conventional healthcare providers to develop knowledge and skills regarding appropriate use of medicinal plants and traditional practitioners to understand biomedical concepts, recognize conditions requiring referral, and appreciate potential risks of herb-drug interactions. Several countries have implemented formal education programs and certification systems for traditional medicine practitioners, establishing minimum competency standards and creating pathways for professional recognition (WHO, 2013). Conversely, inclusion of evidence-based information on medicinal plants and traditional medicine in medical, nursing, and pharmacy curricula enables conventional healthcare providers to counsel patients appropriately and make informed recommendations. However, educational integration remains limited in many settings, contributing to knowledge gaps and missed opportunities for effective integration.</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Economic considerations influence integration decisions, as healthcare systems must consider cost-effectiveness when allocating limited resources. Medicinal plants may offer economic advantages in certain contexts, particularly in resource-limited settings where conventional pharmaceuticals are expensive or inaccessible. Studies from various countries have suggested potential cost savings through appropriate use of herbal medicines for certain conditions, though comprehensive economic analyses accounting for all relevant costs and outcomes remain limited (Robinson &amp; Zhang, 2011). Additionally, local production and use of medicinal plants can provide economic benefits to communities and reduce dependence on imported pharmaceuticals, supporting local economies and enhancing healthcare sustainability. However, economic analyses must also consider costs associated with quality control, safety monitoring, and potential treatment failures or adverse events.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Patient preferences and cultural factors significantly influence patterns of medicinal plant use and must be considered in integration efforts. Surveys across diverse populations consistently reveal high rates of medicinal plant use, with estimates suggesting that 40-80% of </w:t>
      </w:r>
      <w:r w:rsidRPr="00B14CCC">
        <w:rPr>
          <w:rFonts w:ascii="Times New Roman" w:eastAsia="Times New Roman" w:hAnsi="Times New Roman" w:cs="Times New Roman"/>
          <w:sz w:val="24"/>
          <w:szCs w:val="24"/>
        </w:rPr>
        <w:lastRenderedPageBreak/>
        <w:t xml:space="preserve">populations in developed countries have used herbal </w:t>
      </w:r>
      <w:proofErr w:type="gramStart"/>
      <w:r w:rsidRPr="00B14CCC">
        <w:rPr>
          <w:rFonts w:ascii="Times New Roman" w:eastAsia="Times New Roman" w:hAnsi="Times New Roman" w:cs="Times New Roman"/>
          <w:sz w:val="24"/>
          <w:szCs w:val="24"/>
        </w:rPr>
        <w:t>medicines,</w:t>
      </w:r>
      <w:proofErr w:type="gramEnd"/>
      <w:r w:rsidRPr="00B14CCC">
        <w:rPr>
          <w:rFonts w:ascii="Times New Roman" w:eastAsia="Times New Roman" w:hAnsi="Times New Roman" w:cs="Times New Roman"/>
          <w:sz w:val="24"/>
          <w:szCs w:val="24"/>
        </w:rPr>
        <w:t xml:space="preserve"> and even higher proportions in many developing countries (</w:t>
      </w:r>
      <w:proofErr w:type="spellStart"/>
      <w:r w:rsidRPr="00B14CCC">
        <w:rPr>
          <w:rFonts w:ascii="Times New Roman" w:eastAsia="Times New Roman" w:hAnsi="Times New Roman" w:cs="Times New Roman"/>
          <w:sz w:val="24"/>
          <w:szCs w:val="24"/>
        </w:rPr>
        <w:t>Ekor</w:t>
      </w:r>
      <w:proofErr w:type="spellEnd"/>
      <w:r w:rsidRPr="00B14CCC">
        <w:rPr>
          <w:rFonts w:ascii="Times New Roman" w:eastAsia="Times New Roman" w:hAnsi="Times New Roman" w:cs="Times New Roman"/>
          <w:sz w:val="24"/>
          <w:szCs w:val="24"/>
        </w:rPr>
        <w:t xml:space="preserve">, 2014). Motivations for use include cultural beliefs, dissatisfaction with conventional medicine, desire for more natural approaches, and perceived safety advantages. However, many patients do not disclose herbal medicine use to their conventional healthcare providers, creating potential safety risks related to undetected herb-drug interactions and lack of coordinated care. </w:t>
      </w:r>
      <w:proofErr w:type="gramStart"/>
      <w:r w:rsidRPr="00B14CCC">
        <w:rPr>
          <w:rFonts w:ascii="Times New Roman" w:eastAsia="Times New Roman" w:hAnsi="Times New Roman" w:cs="Times New Roman"/>
          <w:sz w:val="24"/>
          <w:szCs w:val="24"/>
        </w:rPr>
        <w:t>Creating healthcare environments that encourage open communication about all treatments, including traditional and complementary approaches, is essential for safe, effective integration.</w:t>
      </w:r>
      <w:proofErr w:type="gramEnd"/>
    </w:p>
    <w:p w:rsidR="000216FD" w:rsidRPr="00B14CCC" w:rsidRDefault="000216FD"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10. Future Directions and Research Opportunities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intersection of traditional medicinal knowledge and modern science continues to evolve, with emerging technologies and methodologies creating new opportunities for validating traditional practices, discovering novel therapeutic compounds, and advancing healthcare. Several promising research directions warrant particular attention, offering potential to enhance both scientific understanding and practical applications of medicinal plants while addressing persistent challenges in the field.</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Systems biology and network pharmacology approaches represent paradigm shifts in understanding medicinal plant actions, moving beyond single compound-single target models to embrace the complexity of multi-component herbal preparations acting on multiple biological targets and pathways. Network pharmacology employs computational approaches to map interactions between phytochemical constituents and multiple biological targets, identifying networks of molecular interactions that collectively produce therapeutic effects (Li &amp; Zhang, 2013). These approaches can reveal synergistic mechanisms underlying traditional multi-herb formulations and identify unexpected targets for known medicinal plants. Integration of systems biology with traditional knowledge could provide mechanistic insights supporting holistic concepts inherent in traditional medicine systems, potentially bridging conceptual gaps between Eastern and Western medical paradigms.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Metabolomics and precision medicine approaches offer opportunities for personalizing herbal medicine interventions based on individual patient characteristics, including genetic factors, metabolic profiles, and </w:t>
      </w:r>
      <w:proofErr w:type="spellStart"/>
      <w:r w:rsidRPr="00B14CCC">
        <w:rPr>
          <w:rFonts w:ascii="Times New Roman" w:eastAsia="Times New Roman" w:hAnsi="Times New Roman" w:cs="Times New Roman"/>
          <w:sz w:val="24"/>
          <w:szCs w:val="24"/>
        </w:rPr>
        <w:t>microbiome</w:t>
      </w:r>
      <w:proofErr w:type="spellEnd"/>
      <w:r w:rsidRPr="00B14CCC">
        <w:rPr>
          <w:rFonts w:ascii="Times New Roman" w:eastAsia="Times New Roman" w:hAnsi="Times New Roman" w:cs="Times New Roman"/>
          <w:sz w:val="24"/>
          <w:szCs w:val="24"/>
        </w:rPr>
        <w:t xml:space="preserve"> composition. Just as conventional medicine increasingly embraces precision approaches tailored to individual </w:t>
      </w:r>
      <w:proofErr w:type="gramStart"/>
      <w:r w:rsidRPr="00B14CCC">
        <w:rPr>
          <w:rFonts w:ascii="Times New Roman" w:eastAsia="Times New Roman" w:hAnsi="Times New Roman" w:cs="Times New Roman"/>
          <w:sz w:val="24"/>
          <w:szCs w:val="24"/>
        </w:rPr>
        <w:t>patients,</w:t>
      </w:r>
      <w:proofErr w:type="gramEnd"/>
      <w:r w:rsidRPr="00B14CCC">
        <w:rPr>
          <w:rFonts w:ascii="Times New Roman" w:eastAsia="Times New Roman" w:hAnsi="Times New Roman" w:cs="Times New Roman"/>
          <w:sz w:val="24"/>
          <w:szCs w:val="24"/>
        </w:rPr>
        <w:t xml:space="preserve"> personalized application of medicinal plants could optimize therapeutic outcomes while minimizing adverse effects (Kang et al., 2020). </w:t>
      </w:r>
      <w:proofErr w:type="spellStart"/>
      <w:r w:rsidRPr="00B14CCC">
        <w:rPr>
          <w:rFonts w:ascii="Times New Roman" w:eastAsia="Times New Roman" w:hAnsi="Times New Roman" w:cs="Times New Roman"/>
          <w:sz w:val="24"/>
          <w:szCs w:val="24"/>
        </w:rPr>
        <w:t>Metabolomic</w:t>
      </w:r>
      <w:proofErr w:type="spellEnd"/>
      <w:r w:rsidRPr="00B14CCC">
        <w:rPr>
          <w:rFonts w:ascii="Times New Roman" w:eastAsia="Times New Roman" w:hAnsi="Times New Roman" w:cs="Times New Roman"/>
          <w:sz w:val="24"/>
          <w:szCs w:val="24"/>
        </w:rPr>
        <w:t xml:space="preserve"> profiling can identify biomarkers predicting response to specific herbal treatments, enabling selection of patients most likely to benefit. Additionally, understanding how genetic variations in drug-metabolizing enzymes affect metabolism of phytochemicals could help predict optimal dosing and potential for adverse events or drug interactions. These approaches align with traditional medicine concepts of constitutional types and individualized treatment, though applying modern scientific frameworks.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Nanotechnology applications in herbal medicine formulation offer potential solutions to bioavailability challenges that limit therapeutic efficacy of many phytochemicals. </w:t>
      </w:r>
      <w:proofErr w:type="spellStart"/>
      <w:r w:rsidRPr="00B14CCC">
        <w:rPr>
          <w:rFonts w:ascii="Times New Roman" w:eastAsia="Times New Roman" w:hAnsi="Times New Roman" w:cs="Times New Roman"/>
          <w:sz w:val="24"/>
          <w:szCs w:val="24"/>
        </w:rPr>
        <w:t>Nanoformulations</w:t>
      </w:r>
      <w:proofErr w:type="spellEnd"/>
      <w:r w:rsidRPr="00B14CCC">
        <w:rPr>
          <w:rFonts w:ascii="Times New Roman" w:eastAsia="Times New Roman" w:hAnsi="Times New Roman" w:cs="Times New Roman"/>
          <w:sz w:val="24"/>
          <w:szCs w:val="24"/>
        </w:rPr>
        <w:t xml:space="preserve"> including nanoparticles, liposomes, solid lipid nanoparticles, and </w:t>
      </w:r>
      <w:proofErr w:type="spellStart"/>
      <w:r w:rsidRPr="00B14CCC">
        <w:rPr>
          <w:rFonts w:ascii="Times New Roman" w:eastAsia="Times New Roman" w:hAnsi="Times New Roman" w:cs="Times New Roman"/>
          <w:sz w:val="24"/>
          <w:szCs w:val="24"/>
        </w:rPr>
        <w:lastRenderedPageBreak/>
        <w:t>nanoemulsions</w:t>
      </w:r>
      <w:proofErr w:type="spellEnd"/>
      <w:r w:rsidRPr="00B14CCC">
        <w:rPr>
          <w:rFonts w:ascii="Times New Roman" w:eastAsia="Times New Roman" w:hAnsi="Times New Roman" w:cs="Times New Roman"/>
          <w:sz w:val="24"/>
          <w:szCs w:val="24"/>
        </w:rPr>
        <w:t xml:space="preserve"> can enhance solubility, stability, absorption, and targeted delivery of </w:t>
      </w:r>
      <w:proofErr w:type="gramStart"/>
      <w:r w:rsidRPr="00B14CCC">
        <w:rPr>
          <w:rFonts w:ascii="Times New Roman" w:eastAsia="Times New Roman" w:hAnsi="Times New Roman" w:cs="Times New Roman"/>
          <w:sz w:val="24"/>
          <w:szCs w:val="24"/>
        </w:rPr>
        <w:t>poorly</w:t>
      </w:r>
      <w:proofErr w:type="gramEnd"/>
      <w:r w:rsidRPr="00B14CCC">
        <w:rPr>
          <w:rFonts w:ascii="Times New Roman" w:eastAsia="Times New Roman" w:hAnsi="Times New Roman" w:cs="Times New Roman"/>
          <w:sz w:val="24"/>
          <w:szCs w:val="24"/>
        </w:rPr>
        <w:t xml:space="preserve"> bioavailable compounds while potentially reducing required doses and adverse effects (</w:t>
      </w:r>
      <w:proofErr w:type="spellStart"/>
      <w:r w:rsidRPr="00B14CCC">
        <w:rPr>
          <w:rFonts w:ascii="Times New Roman" w:eastAsia="Times New Roman" w:hAnsi="Times New Roman" w:cs="Times New Roman"/>
          <w:sz w:val="24"/>
          <w:szCs w:val="24"/>
        </w:rPr>
        <w:t>Patra</w:t>
      </w:r>
      <w:proofErr w:type="spellEnd"/>
      <w:r w:rsidRPr="00B14CCC">
        <w:rPr>
          <w:rFonts w:ascii="Times New Roman" w:eastAsia="Times New Roman" w:hAnsi="Times New Roman" w:cs="Times New Roman"/>
          <w:sz w:val="24"/>
          <w:szCs w:val="24"/>
        </w:rPr>
        <w:t xml:space="preserve"> et al., 2018). For example, </w:t>
      </w:r>
      <w:proofErr w:type="spellStart"/>
      <w:r w:rsidRPr="00B14CCC">
        <w:rPr>
          <w:rFonts w:ascii="Times New Roman" w:eastAsia="Times New Roman" w:hAnsi="Times New Roman" w:cs="Times New Roman"/>
          <w:sz w:val="24"/>
          <w:szCs w:val="24"/>
        </w:rPr>
        <w:t>curcumin</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nanoformulations</w:t>
      </w:r>
      <w:proofErr w:type="spellEnd"/>
      <w:r w:rsidRPr="00B14CCC">
        <w:rPr>
          <w:rFonts w:ascii="Times New Roman" w:eastAsia="Times New Roman" w:hAnsi="Times New Roman" w:cs="Times New Roman"/>
          <w:sz w:val="24"/>
          <w:szCs w:val="24"/>
        </w:rPr>
        <w:t xml:space="preserve"> demonstrate dramatically enhanced bioavailability compared to conventional preparations, potentially explaining disappointing results of some clinical trials using conventional formulations with poor bioavailability. </w:t>
      </w:r>
      <w:proofErr w:type="spellStart"/>
      <w:r w:rsidRPr="00B14CCC">
        <w:rPr>
          <w:rFonts w:ascii="Times New Roman" w:eastAsia="Times New Roman" w:hAnsi="Times New Roman" w:cs="Times New Roman"/>
          <w:sz w:val="24"/>
          <w:szCs w:val="24"/>
        </w:rPr>
        <w:t>Nanoformulation</w:t>
      </w:r>
      <w:proofErr w:type="spellEnd"/>
      <w:r w:rsidRPr="00B14CCC">
        <w:rPr>
          <w:rFonts w:ascii="Times New Roman" w:eastAsia="Times New Roman" w:hAnsi="Times New Roman" w:cs="Times New Roman"/>
          <w:sz w:val="24"/>
          <w:szCs w:val="24"/>
        </w:rPr>
        <w:t xml:space="preserve"> approaches could enable development of more effective herbal medicines while reducing environmental impact through decreased raw material requirements. However, safety evaluation of </w:t>
      </w:r>
      <w:proofErr w:type="spellStart"/>
      <w:r w:rsidRPr="00B14CCC">
        <w:rPr>
          <w:rFonts w:ascii="Times New Roman" w:eastAsia="Times New Roman" w:hAnsi="Times New Roman" w:cs="Times New Roman"/>
          <w:sz w:val="24"/>
          <w:szCs w:val="24"/>
        </w:rPr>
        <w:t>nanoformulations</w:t>
      </w:r>
      <w:proofErr w:type="spellEnd"/>
      <w:r w:rsidRPr="00B14CCC">
        <w:rPr>
          <w:rFonts w:ascii="Times New Roman" w:eastAsia="Times New Roman" w:hAnsi="Times New Roman" w:cs="Times New Roman"/>
          <w:sz w:val="24"/>
          <w:szCs w:val="24"/>
        </w:rPr>
        <w:t xml:space="preserve"> requires careful attention, as altered physicochemical properties may affect toxicity profiles.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Synthetic biology and metabolic engineering approaches enable production of complex phytochemicals through engineered microorganisms or plant cell cultures, potentially addressing supply constraints and sustainability concerns while enabling production under controlled conditions yielding consistent quality. Recent advances have enabled engineering of yeast and bacteria to produce various plant natural products, including </w:t>
      </w:r>
      <w:proofErr w:type="spellStart"/>
      <w:r w:rsidRPr="00B14CCC">
        <w:rPr>
          <w:rFonts w:ascii="Times New Roman" w:eastAsia="Times New Roman" w:hAnsi="Times New Roman" w:cs="Times New Roman"/>
          <w:sz w:val="24"/>
          <w:szCs w:val="24"/>
        </w:rPr>
        <w:t>artemisinin</w:t>
      </w:r>
      <w:proofErr w:type="spellEnd"/>
      <w:r w:rsidRPr="00B14CCC">
        <w:rPr>
          <w:rFonts w:ascii="Times New Roman" w:eastAsia="Times New Roman" w:hAnsi="Times New Roman" w:cs="Times New Roman"/>
          <w:sz w:val="24"/>
          <w:szCs w:val="24"/>
        </w:rPr>
        <w:t>, opiates, and cannabinoids (</w:t>
      </w:r>
      <w:proofErr w:type="spellStart"/>
      <w:r w:rsidRPr="00B14CCC">
        <w:rPr>
          <w:rFonts w:ascii="Times New Roman" w:eastAsia="Times New Roman" w:hAnsi="Times New Roman" w:cs="Times New Roman"/>
          <w:sz w:val="24"/>
          <w:szCs w:val="24"/>
        </w:rPr>
        <w:t>Keasling</w:t>
      </w:r>
      <w:proofErr w:type="spellEnd"/>
      <w:r w:rsidRPr="00B14CCC">
        <w:rPr>
          <w:rFonts w:ascii="Times New Roman" w:eastAsia="Times New Roman" w:hAnsi="Times New Roman" w:cs="Times New Roman"/>
          <w:sz w:val="24"/>
          <w:szCs w:val="24"/>
        </w:rPr>
        <w:t>, 2012). While complete biosynthesis of complex molecules like vinblastine remains challenging, production of advanced intermediates for semi-synthesis represents an achievable near-term goal. Plant cell culture approaches, including hairy root cultures and bioreactor systems, offer alternative production platforms that can be optimized through genetic engineering to enhance yields of desired compounds. These biotechnological approaches raise philosophical questions about whether synthesized compounds retain the therapeutic properties of plant-derived counterparts and how such production methods align with traditional medicine principles emphasizing whole-plant preparations and natural sources.</w:t>
      </w:r>
    </w:p>
    <w:p w:rsidR="000216FD" w:rsidRPr="00B14CCC" w:rsidRDefault="000216FD"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sz w:val="24"/>
          <w:szCs w:val="24"/>
        </w:rPr>
        <w:t>Microbiome</w:t>
      </w:r>
      <w:proofErr w:type="spellEnd"/>
      <w:r w:rsidRPr="00B14CCC">
        <w:rPr>
          <w:rFonts w:ascii="Times New Roman" w:eastAsia="Times New Roman" w:hAnsi="Times New Roman" w:cs="Times New Roman"/>
          <w:sz w:val="24"/>
          <w:szCs w:val="24"/>
        </w:rPr>
        <w:t xml:space="preserve"> research represents an emerging frontier in understanding medicinal plant actions, as growing evidence suggests that gut </w:t>
      </w:r>
      <w:proofErr w:type="spellStart"/>
      <w:r w:rsidRPr="00B14CCC">
        <w:rPr>
          <w:rFonts w:ascii="Times New Roman" w:eastAsia="Times New Roman" w:hAnsi="Times New Roman" w:cs="Times New Roman"/>
          <w:sz w:val="24"/>
          <w:szCs w:val="24"/>
        </w:rPr>
        <w:t>microbiota</w:t>
      </w:r>
      <w:proofErr w:type="spellEnd"/>
      <w:r w:rsidRPr="00B14CCC">
        <w:rPr>
          <w:rFonts w:ascii="Times New Roman" w:eastAsia="Times New Roman" w:hAnsi="Times New Roman" w:cs="Times New Roman"/>
          <w:sz w:val="24"/>
          <w:szCs w:val="24"/>
        </w:rPr>
        <w:t xml:space="preserve"> metabolism significantly influences bioavailability, bioactivity, and individual variation in response to phytochemicals. Many dietary polyphenols and other phytochemicals undergo extensive transformation by gut bacteria, generating metabolites that may contribute substantially to observed health effects (</w:t>
      </w:r>
      <w:proofErr w:type="spellStart"/>
      <w:r w:rsidRPr="00B14CCC">
        <w:rPr>
          <w:rFonts w:ascii="Times New Roman" w:eastAsia="Times New Roman" w:hAnsi="Times New Roman" w:cs="Times New Roman"/>
          <w:sz w:val="24"/>
          <w:szCs w:val="24"/>
        </w:rPr>
        <w:t>Ozdal</w:t>
      </w:r>
      <w:proofErr w:type="spellEnd"/>
      <w:r w:rsidRPr="00B14CCC">
        <w:rPr>
          <w:rFonts w:ascii="Times New Roman" w:eastAsia="Times New Roman" w:hAnsi="Times New Roman" w:cs="Times New Roman"/>
          <w:sz w:val="24"/>
          <w:szCs w:val="24"/>
        </w:rPr>
        <w:t xml:space="preserve"> et al., 2016). Individual differences in </w:t>
      </w:r>
      <w:proofErr w:type="spellStart"/>
      <w:r w:rsidRPr="00B14CCC">
        <w:rPr>
          <w:rFonts w:ascii="Times New Roman" w:eastAsia="Times New Roman" w:hAnsi="Times New Roman" w:cs="Times New Roman"/>
          <w:sz w:val="24"/>
          <w:szCs w:val="24"/>
        </w:rPr>
        <w:t>microbiome</w:t>
      </w:r>
      <w:proofErr w:type="spellEnd"/>
      <w:r w:rsidRPr="00B14CCC">
        <w:rPr>
          <w:rFonts w:ascii="Times New Roman" w:eastAsia="Times New Roman" w:hAnsi="Times New Roman" w:cs="Times New Roman"/>
          <w:sz w:val="24"/>
          <w:szCs w:val="24"/>
        </w:rPr>
        <w:t xml:space="preserve"> composition could explain variable responses to herbal treatments observed both in traditional practice and clinical studies. Understanding these interactions could enable development of combination approaches pairing medicinal plants with probiotics or prebiotics to optimize therapeutic outcomes. Furthermore, some medicinal plants may exert benefits partly through beneficial effects on </w:t>
      </w:r>
      <w:proofErr w:type="spellStart"/>
      <w:r w:rsidRPr="00B14CCC">
        <w:rPr>
          <w:rFonts w:ascii="Times New Roman" w:eastAsia="Times New Roman" w:hAnsi="Times New Roman" w:cs="Times New Roman"/>
          <w:sz w:val="24"/>
          <w:szCs w:val="24"/>
        </w:rPr>
        <w:t>microbiome</w:t>
      </w:r>
      <w:proofErr w:type="spellEnd"/>
      <w:r w:rsidRPr="00B14CCC">
        <w:rPr>
          <w:rFonts w:ascii="Times New Roman" w:eastAsia="Times New Roman" w:hAnsi="Times New Roman" w:cs="Times New Roman"/>
          <w:sz w:val="24"/>
          <w:szCs w:val="24"/>
        </w:rPr>
        <w:t xml:space="preserve"> composition, a mechanism traditionally unrecognized but potentially important.</w:t>
      </w:r>
    </w:p>
    <w:p w:rsidR="000216FD" w:rsidRPr="00B14CCC" w:rsidRDefault="000216FD"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sz w:val="24"/>
          <w:szCs w:val="24"/>
        </w:rPr>
        <w:t>Ethnopharmacological</w:t>
      </w:r>
      <w:proofErr w:type="spellEnd"/>
      <w:r w:rsidRPr="00B14CCC">
        <w:rPr>
          <w:rFonts w:ascii="Times New Roman" w:eastAsia="Times New Roman" w:hAnsi="Times New Roman" w:cs="Times New Roman"/>
          <w:sz w:val="24"/>
          <w:szCs w:val="24"/>
        </w:rPr>
        <w:t xml:space="preserve"> investigations of underexplored regions and traditional medical systems offer continued opportunities for discovering novel therapeutic leads. While some traditional systems like Traditional Chinese Medicine and Ayurveda have been extensively investigated, numerous others remain poorly documented from scientific perspectives. Indigenous medical knowledge in regions such as Amazonia, Central Africa, and Oceania harbors immense potential for revealing novel medicinal plants and therapeutic approaches (Albuquerque et al., 2014). However, such investigations must be conducted ethically with appropriate respect for indigenous rights, meaningful community engagement, and equitable </w:t>
      </w:r>
      <w:r w:rsidRPr="00B14CCC">
        <w:rPr>
          <w:rFonts w:ascii="Times New Roman" w:eastAsia="Times New Roman" w:hAnsi="Times New Roman" w:cs="Times New Roman"/>
          <w:sz w:val="24"/>
          <w:szCs w:val="24"/>
        </w:rPr>
        <w:lastRenderedPageBreak/>
        <w:t>benefit-sharing arrangements. Documentation and preservation of traditional knowledge itself represents an urgent priority, as knowledge erosion continues due to cultural changes, loss of traditional languages, and passing of knowledge holders.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Climate change impacts on medicinal plants require systematic investigation to understand and mitigate threats to plant availability and quality. Climate change affects medicinal plants through multiple mechanisms including altered geographical distributions, changes in phytochemical composition, shifts in growing seasons, and increased susceptibility to pests and diseases (</w:t>
      </w:r>
      <w:proofErr w:type="spellStart"/>
      <w:r w:rsidRPr="00B14CCC">
        <w:rPr>
          <w:rFonts w:ascii="Times New Roman" w:eastAsia="Times New Roman" w:hAnsi="Times New Roman" w:cs="Times New Roman"/>
          <w:sz w:val="24"/>
          <w:szCs w:val="24"/>
        </w:rPr>
        <w:t>Applequist</w:t>
      </w:r>
      <w:proofErr w:type="spellEnd"/>
      <w:r w:rsidRPr="00B14CCC">
        <w:rPr>
          <w:rFonts w:ascii="Times New Roman" w:eastAsia="Times New Roman" w:hAnsi="Times New Roman" w:cs="Times New Roman"/>
          <w:sz w:val="24"/>
          <w:szCs w:val="24"/>
        </w:rPr>
        <w:t xml:space="preserve"> et al., 2020). These changes may affect not only plant survival but also therapeutic efficacy if climate-induced phytochemical alterations reduce content of bioactive constituents. Research examining climate change impacts on medicinal plant species, developing climate-adapted cultivation practices, and establishing seed banks and </w:t>
      </w:r>
      <w:proofErr w:type="spellStart"/>
      <w:r w:rsidRPr="00B14CCC">
        <w:rPr>
          <w:rFonts w:ascii="Times New Roman" w:eastAsia="Times New Roman" w:hAnsi="Times New Roman" w:cs="Times New Roman"/>
          <w:sz w:val="24"/>
          <w:szCs w:val="24"/>
        </w:rPr>
        <w:t>germplasm</w:t>
      </w:r>
      <w:proofErr w:type="spellEnd"/>
      <w:r w:rsidRPr="00B14CCC">
        <w:rPr>
          <w:rFonts w:ascii="Times New Roman" w:eastAsia="Times New Roman" w:hAnsi="Times New Roman" w:cs="Times New Roman"/>
          <w:sz w:val="24"/>
          <w:szCs w:val="24"/>
        </w:rPr>
        <w:t xml:space="preserve"> repositories for conservation represents important priorities for ensuring continued availability of medicinal plant resources.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Reverse pharmacology approaches, which begin with documented traditional uses and traditional preparations rather than isolated compounds, offer alternative frameworks for developing evidence-based herbal medicines that may better preserve synergistic effects and traditional preparation methods. This approach involves systematic evaluation of traditionally used preparations in clinical trials, followed by phytochemical characterization and mechanistic investigation of validated effective preparations (</w:t>
      </w:r>
      <w:proofErr w:type="spellStart"/>
      <w:r w:rsidRPr="00B14CCC">
        <w:rPr>
          <w:rFonts w:ascii="Times New Roman" w:eastAsia="Times New Roman" w:hAnsi="Times New Roman" w:cs="Times New Roman"/>
          <w:sz w:val="24"/>
          <w:szCs w:val="24"/>
        </w:rPr>
        <w:t>Vaidya</w:t>
      </w:r>
      <w:proofErr w:type="spellEnd"/>
      <w:r w:rsidRPr="00B14CCC">
        <w:rPr>
          <w:rFonts w:ascii="Times New Roman" w:eastAsia="Times New Roman" w:hAnsi="Times New Roman" w:cs="Times New Roman"/>
          <w:sz w:val="24"/>
          <w:szCs w:val="24"/>
        </w:rPr>
        <w:t xml:space="preserve"> &amp; </w:t>
      </w:r>
      <w:proofErr w:type="spellStart"/>
      <w:r w:rsidRPr="00B14CCC">
        <w:rPr>
          <w:rFonts w:ascii="Times New Roman" w:eastAsia="Times New Roman" w:hAnsi="Times New Roman" w:cs="Times New Roman"/>
          <w:sz w:val="24"/>
          <w:szCs w:val="24"/>
        </w:rPr>
        <w:t>Vaidya</w:t>
      </w:r>
      <w:proofErr w:type="spellEnd"/>
      <w:r w:rsidRPr="00B14CCC">
        <w:rPr>
          <w:rFonts w:ascii="Times New Roman" w:eastAsia="Times New Roman" w:hAnsi="Times New Roman" w:cs="Times New Roman"/>
          <w:sz w:val="24"/>
          <w:szCs w:val="24"/>
        </w:rPr>
        <w:t>, 2010). Successful examples include development of several Traditional Chinese Medicine formulations into approved drugs in China. Reverse pharmacology may be particularly valuable for complex formulations where effects result from multiple compounds acting synergistically, as it avoids premature reduction to single isolated compounds that may sacrifice efficacy.</w:t>
      </w:r>
    </w:p>
    <w:p w:rsidR="00B14CCC" w:rsidRPr="00B14CCC" w:rsidRDefault="00B14CCC" w:rsidP="00B14CCC">
      <w:pPr>
        <w:jc w:val="both"/>
        <w:rPr>
          <w:rFonts w:ascii="Times New Roman" w:eastAsia="Times New Roman" w:hAnsi="Times New Roman" w:cs="Times New Roman"/>
          <w:sz w:val="24"/>
          <w:szCs w:val="24"/>
        </w:rPr>
      </w:pPr>
      <w:proofErr w:type="gramStart"/>
      <w:r w:rsidRPr="00B14CCC">
        <w:rPr>
          <w:rFonts w:ascii="Times New Roman" w:eastAsia="Times New Roman" w:hAnsi="Times New Roman" w:cs="Times New Roman"/>
          <w:b/>
          <w:bCs/>
          <w:sz w:val="24"/>
          <w:szCs w:val="24"/>
        </w:rPr>
        <w:t>Table 1.</w:t>
      </w:r>
      <w:proofErr w:type="gramEnd"/>
      <w:r w:rsidRPr="00B14CCC">
        <w:rPr>
          <w:rFonts w:ascii="Times New Roman" w:eastAsia="Times New Roman" w:hAnsi="Times New Roman" w:cs="Times New Roman"/>
          <w:b/>
          <w:bCs/>
          <w:sz w:val="24"/>
          <w:szCs w:val="24"/>
        </w:rPr>
        <w:t xml:space="preserve"> Major Phytochemical Classes and Representative Bioactive Compounds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5"/>
        <w:gridCol w:w="2120"/>
        <w:gridCol w:w="1665"/>
        <w:gridCol w:w="1506"/>
        <w:gridCol w:w="2231"/>
      </w:tblGrid>
      <w:tr w:rsidR="00B14CCC" w:rsidRPr="00B14CCC" w:rsidTr="00B14CCC">
        <w:trPr>
          <w:tblHeader/>
          <w:tblCellSpacing w:w="15" w:type="dxa"/>
        </w:trPr>
        <w:tc>
          <w:tcPr>
            <w:tcW w:w="0" w:type="auto"/>
            <w:vAlign w:val="center"/>
            <w:hideMark/>
          </w:tcPr>
          <w:p w:rsidR="00B14CCC" w:rsidRPr="00B14CCC" w:rsidRDefault="00B14CCC" w:rsidP="00B14CCC">
            <w:pPr>
              <w:jc w:val="both"/>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Phytochemical Class</w:t>
            </w:r>
          </w:p>
        </w:tc>
        <w:tc>
          <w:tcPr>
            <w:tcW w:w="0" w:type="auto"/>
            <w:vAlign w:val="center"/>
            <w:hideMark/>
          </w:tcPr>
          <w:p w:rsidR="00B14CCC" w:rsidRPr="00B14CCC" w:rsidRDefault="00B14CCC" w:rsidP="00B14CCC">
            <w:pPr>
              <w:jc w:val="both"/>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Chemical Characteristics</w:t>
            </w:r>
          </w:p>
        </w:tc>
        <w:tc>
          <w:tcPr>
            <w:tcW w:w="0" w:type="auto"/>
            <w:vAlign w:val="center"/>
            <w:hideMark/>
          </w:tcPr>
          <w:p w:rsidR="00B14CCC" w:rsidRPr="00B14CCC" w:rsidRDefault="00B14CCC" w:rsidP="00B14CCC">
            <w:pPr>
              <w:jc w:val="both"/>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Representative Compounds</w:t>
            </w:r>
          </w:p>
        </w:tc>
        <w:tc>
          <w:tcPr>
            <w:tcW w:w="0" w:type="auto"/>
            <w:vAlign w:val="center"/>
            <w:hideMark/>
          </w:tcPr>
          <w:p w:rsidR="00B14CCC" w:rsidRPr="00B14CCC" w:rsidRDefault="00B14CCC" w:rsidP="00B14CCC">
            <w:pPr>
              <w:jc w:val="both"/>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Plant Sources</w:t>
            </w:r>
          </w:p>
        </w:tc>
        <w:tc>
          <w:tcPr>
            <w:tcW w:w="0" w:type="auto"/>
            <w:vAlign w:val="center"/>
            <w:hideMark/>
          </w:tcPr>
          <w:p w:rsidR="00B14CCC" w:rsidRPr="00B14CCC" w:rsidRDefault="00B14CCC" w:rsidP="00B14CCC">
            <w:pPr>
              <w:jc w:val="both"/>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Primary Biological Activities</w:t>
            </w:r>
          </w:p>
        </w:tc>
      </w:tr>
      <w:tr w:rsidR="00B14CCC" w:rsidRPr="00B14CCC" w:rsidTr="00B14CCC">
        <w:trPr>
          <w:tblCellSpacing w:w="15" w:type="dxa"/>
        </w:trPr>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Alkaloids</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Nitrogen-containing </w:t>
            </w:r>
            <w:proofErr w:type="spellStart"/>
            <w:r w:rsidRPr="00B14CCC">
              <w:rPr>
                <w:rFonts w:ascii="Times New Roman" w:eastAsia="Times New Roman" w:hAnsi="Times New Roman" w:cs="Times New Roman"/>
                <w:sz w:val="24"/>
                <w:szCs w:val="24"/>
              </w:rPr>
              <w:t>heterocycles</w:t>
            </w:r>
            <w:proofErr w:type="spellEnd"/>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Morphine, quinine, vincristine, </w:t>
            </w:r>
            <w:proofErr w:type="spellStart"/>
            <w:r w:rsidRPr="00B14CCC">
              <w:rPr>
                <w:rFonts w:ascii="Times New Roman" w:eastAsia="Times New Roman" w:hAnsi="Times New Roman" w:cs="Times New Roman"/>
                <w:sz w:val="24"/>
                <w:szCs w:val="24"/>
              </w:rPr>
              <w:t>berberine</w:t>
            </w:r>
            <w:proofErr w:type="spellEnd"/>
            <w:r w:rsidRPr="00B14CCC">
              <w:rPr>
                <w:rFonts w:ascii="Times New Roman" w:eastAsia="Times New Roman" w:hAnsi="Times New Roman" w:cs="Times New Roman"/>
                <w:sz w:val="24"/>
                <w:szCs w:val="24"/>
              </w:rPr>
              <w:t>, caffeine</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i/>
                <w:iCs/>
                <w:sz w:val="24"/>
                <w:szCs w:val="24"/>
              </w:rPr>
              <w:t>Papaver</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somniferum</w:t>
            </w:r>
            <w:proofErr w:type="spellEnd"/>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Cinchona</w:t>
            </w:r>
            <w:r w:rsidRPr="00B14CCC">
              <w:rPr>
                <w:rFonts w:ascii="Times New Roman" w:eastAsia="Times New Roman" w:hAnsi="Times New Roman" w:cs="Times New Roman"/>
                <w:sz w:val="24"/>
                <w:szCs w:val="24"/>
              </w:rPr>
              <w:t xml:space="preserve"> spp., </w:t>
            </w:r>
            <w:proofErr w:type="spellStart"/>
            <w:r w:rsidRPr="00B14CCC">
              <w:rPr>
                <w:rFonts w:ascii="Times New Roman" w:eastAsia="Times New Roman" w:hAnsi="Times New Roman" w:cs="Times New Roman"/>
                <w:i/>
                <w:iCs/>
                <w:sz w:val="24"/>
                <w:szCs w:val="24"/>
              </w:rPr>
              <w:t>Catharanthus</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roseus</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i/>
                <w:iCs/>
                <w:sz w:val="24"/>
                <w:szCs w:val="24"/>
              </w:rPr>
              <w:t>Berberis</w:t>
            </w:r>
            <w:proofErr w:type="spellEnd"/>
            <w:r w:rsidRPr="00B14CCC">
              <w:rPr>
                <w:rFonts w:ascii="Times New Roman" w:eastAsia="Times New Roman" w:hAnsi="Times New Roman" w:cs="Times New Roman"/>
                <w:sz w:val="24"/>
                <w:szCs w:val="24"/>
              </w:rPr>
              <w:t xml:space="preserve"> spp.</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Analgesic, antimalarial, anticancer, antimicrobial, CNS stimulation</w:t>
            </w:r>
          </w:p>
        </w:tc>
      </w:tr>
      <w:tr w:rsidR="00B14CCC" w:rsidRPr="00B14CCC" w:rsidTr="00B14CCC">
        <w:trPr>
          <w:tblCellSpacing w:w="15" w:type="dxa"/>
        </w:trPr>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Flavonoids</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C6-C3-C6 </w:t>
            </w:r>
            <w:proofErr w:type="spellStart"/>
            <w:r w:rsidRPr="00B14CCC">
              <w:rPr>
                <w:rFonts w:ascii="Times New Roman" w:eastAsia="Times New Roman" w:hAnsi="Times New Roman" w:cs="Times New Roman"/>
                <w:sz w:val="24"/>
                <w:szCs w:val="24"/>
              </w:rPr>
              <w:t>polyphenolic</w:t>
            </w:r>
            <w:proofErr w:type="spellEnd"/>
            <w:r w:rsidRPr="00B14CCC">
              <w:rPr>
                <w:rFonts w:ascii="Times New Roman" w:eastAsia="Times New Roman" w:hAnsi="Times New Roman" w:cs="Times New Roman"/>
                <w:sz w:val="24"/>
                <w:szCs w:val="24"/>
              </w:rPr>
              <w:t xml:space="preserve"> structures</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sz w:val="24"/>
                <w:szCs w:val="24"/>
              </w:rPr>
              <w:t>Quercetin</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kaempferol</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catechins</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anthocyanins</w:t>
            </w:r>
            <w:proofErr w:type="spellEnd"/>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i/>
                <w:iCs/>
                <w:sz w:val="24"/>
                <w:szCs w:val="24"/>
              </w:rPr>
              <w:t xml:space="preserve">Camellia </w:t>
            </w:r>
            <w:proofErr w:type="spellStart"/>
            <w:r w:rsidRPr="00B14CCC">
              <w:rPr>
                <w:rFonts w:ascii="Times New Roman" w:eastAsia="Times New Roman" w:hAnsi="Times New Roman" w:cs="Times New Roman"/>
                <w:i/>
                <w:iCs/>
                <w:sz w:val="24"/>
                <w:szCs w:val="24"/>
              </w:rPr>
              <w:t>sinensis</w:t>
            </w:r>
            <w:proofErr w:type="spellEnd"/>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 xml:space="preserve">Ginkgo </w:t>
            </w:r>
            <w:proofErr w:type="spellStart"/>
            <w:r w:rsidRPr="00B14CCC">
              <w:rPr>
                <w:rFonts w:ascii="Times New Roman" w:eastAsia="Times New Roman" w:hAnsi="Times New Roman" w:cs="Times New Roman"/>
                <w:i/>
                <w:iCs/>
                <w:sz w:val="24"/>
                <w:szCs w:val="24"/>
              </w:rPr>
              <w:t>biloba</w:t>
            </w:r>
            <w:proofErr w:type="spellEnd"/>
            <w:r w:rsidRPr="00B14CCC">
              <w:rPr>
                <w:rFonts w:ascii="Times New Roman" w:eastAsia="Times New Roman" w:hAnsi="Times New Roman" w:cs="Times New Roman"/>
                <w:sz w:val="24"/>
                <w:szCs w:val="24"/>
              </w:rPr>
              <w:t xml:space="preserve">, berries, citrus </w:t>
            </w:r>
            <w:r w:rsidRPr="00B14CCC">
              <w:rPr>
                <w:rFonts w:ascii="Times New Roman" w:eastAsia="Times New Roman" w:hAnsi="Times New Roman" w:cs="Times New Roman"/>
                <w:sz w:val="24"/>
                <w:szCs w:val="24"/>
              </w:rPr>
              <w:lastRenderedPageBreak/>
              <w:t>fruits</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 xml:space="preserve">Antioxidant, anti-inflammatory, </w:t>
            </w:r>
            <w:proofErr w:type="spellStart"/>
            <w:r w:rsidRPr="00B14CCC">
              <w:rPr>
                <w:rFonts w:ascii="Times New Roman" w:eastAsia="Times New Roman" w:hAnsi="Times New Roman" w:cs="Times New Roman"/>
                <w:sz w:val="24"/>
                <w:szCs w:val="24"/>
              </w:rPr>
              <w:t>cardioprotective</w:t>
            </w:r>
            <w:proofErr w:type="spellEnd"/>
            <w:r w:rsidRPr="00B14CCC">
              <w:rPr>
                <w:rFonts w:ascii="Times New Roman" w:eastAsia="Times New Roman" w:hAnsi="Times New Roman" w:cs="Times New Roman"/>
                <w:sz w:val="24"/>
                <w:szCs w:val="24"/>
              </w:rPr>
              <w:t>, anticancer</w:t>
            </w:r>
          </w:p>
        </w:tc>
      </w:tr>
      <w:tr w:rsidR="00B14CCC" w:rsidRPr="00B14CCC" w:rsidTr="00B14CCC">
        <w:trPr>
          <w:tblCellSpacing w:w="15" w:type="dxa"/>
        </w:trPr>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sz w:val="24"/>
                <w:szCs w:val="24"/>
              </w:rPr>
              <w:lastRenderedPageBreak/>
              <w:t>Terpenoids</w:t>
            </w:r>
            <w:proofErr w:type="spellEnd"/>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Isoprene-derived compounds</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sz w:val="24"/>
                <w:szCs w:val="24"/>
              </w:rPr>
              <w:t>Artemisinin</w:t>
            </w:r>
            <w:proofErr w:type="spellEnd"/>
            <w:r w:rsidRPr="00B14CCC">
              <w:rPr>
                <w:rFonts w:ascii="Times New Roman" w:eastAsia="Times New Roman" w:hAnsi="Times New Roman" w:cs="Times New Roman"/>
                <w:sz w:val="24"/>
                <w:szCs w:val="24"/>
              </w:rPr>
              <w:t>, paclitaxel, menthol, limonene</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i/>
                <w:iCs/>
                <w:sz w:val="24"/>
                <w:szCs w:val="24"/>
              </w:rPr>
              <w:t xml:space="preserve">Artemisia </w:t>
            </w:r>
            <w:proofErr w:type="spellStart"/>
            <w:r w:rsidRPr="00B14CCC">
              <w:rPr>
                <w:rFonts w:ascii="Times New Roman" w:eastAsia="Times New Roman" w:hAnsi="Times New Roman" w:cs="Times New Roman"/>
                <w:i/>
                <w:iCs/>
                <w:sz w:val="24"/>
                <w:szCs w:val="24"/>
              </w:rPr>
              <w:t>annua</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i/>
                <w:iCs/>
                <w:sz w:val="24"/>
                <w:szCs w:val="24"/>
              </w:rPr>
              <w:t>Taxus</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brevifolia</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i/>
                <w:iCs/>
                <w:sz w:val="24"/>
                <w:szCs w:val="24"/>
              </w:rPr>
              <w:t>Mentha</w:t>
            </w:r>
            <w:proofErr w:type="spellEnd"/>
            <w:r w:rsidRPr="00B14CCC">
              <w:rPr>
                <w:rFonts w:ascii="Times New Roman" w:eastAsia="Times New Roman" w:hAnsi="Times New Roman" w:cs="Times New Roman"/>
                <w:sz w:val="24"/>
                <w:szCs w:val="24"/>
              </w:rPr>
              <w:t xml:space="preserve"> spp.</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Antimalarial, anticancer, antimicrobial, anti-inflammatory</w:t>
            </w:r>
          </w:p>
        </w:tc>
      </w:tr>
      <w:tr w:rsidR="00B14CCC" w:rsidRPr="00B14CCC" w:rsidTr="00B14CCC">
        <w:trPr>
          <w:tblCellSpacing w:w="15" w:type="dxa"/>
        </w:trPr>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Phenolic acids</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Aromatic rings with carboxyl groups</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sz w:val="24"/>
                <w:szCs w:val="24"/>
              </w:rPr>
              <w:t>Caffeic</w:t>
            </w:r>
            <w:proofErr w:type="spellEnd"/>
            <w:r w:rsidRPr="00B14CCC">
              <w:rPr>
                <w:rFonts w:ascii="Times New Roman" w:eastAsia="Times New Roman" w:hAnsi="Times New Roman" w:cs="Times New Roman"/>
                <w:sz w:val="24"/>
                <w:szCs w:val="24"/>
              </w:rPr>
              <w:t xml:space="preserve"> acid, </w:t>
            </w:r>
            <w:proofErr w:type="spellStart"/>
            <w:r w:rsidRPr="00B14CCC">
              <w:rPr>
                <w:rFonts w:ascii="Times New Roman" w:eastAsia="Times New Roman" w:hAnsi="Times New Roman" w:cs="Times New Roman"/>
                <w:sz w:val="24"/>
                <w:szCs w:val="24"/>
              </w:rPr>
              <w:t>gallic</w:t>
            </w:r>
            <w:proofErr w:type="spellEnd"/>
            <w:r w:rsidRPr="00B14CCC">
              <w:rPr>
                <w:rFonts w:ascii="Times New Roman" w:eastAsia="Times New Roman" w:hAnsi="Times New Roman" w:cs="Times New Roman"/>
                <w:sz w:val="24"/>
                <w:szCs w:val="24"/>
              </w:rPr>
              <w:t xml:space="preserve"> acid, </w:t>
            </w:r>
            <w:proofErr w:type="spellStart"/>
            <w:r w:rsidRPr="00B14CCC">
              <w:rPr>
                <w:rFonts w:ascii="Times New Roman" w:eastAsia="Times New Roman" w:hAnsi="Times New Roman" w:cs="Times New Roman"/>
                <w:sz w:val="24"/>
                <w:szCs w:val="24"/>
              </w:rPr>
              <w:t>ellagic</w:t>
            </w:r>
            <w:proofErr w:type="spellEnd"/>
            <w:r w:rsidRPr="00B14CCC">
              <w:rPr>
                <w:rFonts w:ascii="Times New Roman" w:eastAsia="Times New Roman" w:hAnsi="Times New Roman" w:cs="Times New Roman"/>
                <w:sz w:val="24"/>
                <w:szCs w:val="24"/>
              </w:rPr>
              <w:t xml:space="preserve"> acid</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Coffee, tea, berries, pomegranate</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Antioxidant, antimicrobial, anti-inflammatory</w:t>
            </w:r>
          </w:p>
        </w:tc>
      </w:tr>
      <w:tr w:rsidR="00B14CCC" w:rsidRPr="00B14CCC" w:rsidTr="00B14CCC">
        <w:trPr>
          <w:tblCellSpacing w:w="15" w:type="dxa"/>
        </w:trPr>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sz w:val="24"/>
                <w:szCs w:val="24"/>
              </w:rPr>
              <w:t>Saponins</w:t>
            </w:r>
            <w:proofErr w:type="spellEnd"/>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Glycosylated </w:t>
            </w:r>
            <w:proofErr w:type="spellStart"/>
            <w:r w:rsidRPr="00B14CCC">
              <w:rPr>
                <w:rFonts w:ascii="Times New Roman" w:eastAsia="Times New Roman" w:hAnsi="Times New Roman" w:cs="Times New Roman"/>
                <w:sz w:val="24"/>
                <w:szCs w:val="24"/>
              </w:rPr>
              <w:t>triterpenoids</w:t>
            </w:r>
            <w:proofErr w:type="spellEnd"/>
            <w:r w:rsidRPr="00B14CCC">
              <w:rPr>
                <w:rFonts w:ascii="Times New Roman" w:eastAsia="Times New Roman" w:hAnsi="Times New Roman" w:cs="Times New Roman"/>
                <w:sz w:val="24"/>
                <w:szCs w:val="24"/>
              </w:rPr>
              <w:t>/steroids</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sz w:val="24"/>
                <w:szCs w:val="24"/>
              </w:rPr>
              <w:t>Ginsenosides</w:t>
            </w:r>
            <w:proofErr w:type="spellEnd"/>
            <w:r w:rsidRPr="00B14CCC">
              <w:rPr>
                <w:rFonts w:ascii="Times New Roman" w:eastAsia="Times New Roman" w:hAnsi="Times New Roman" w:cs="Times New Roman"/>
                <w:sz w:val="24"/>
                <w:szCs w:val="24"/>
              </w:rPr>
              <w:t xml:space="preserve">, glycyrrhizin, </w:t>
            </w:r>
            <w:proofErr w:type="spellStart"/>
            <w:r w:rsidRPr="00B14CCC">
              <w:rPr>
                <w:rFonts w:ascii="Times New Roman" w:eastAsia="Times New Roman" w:hAnsi="Times New Roman" w:cs="Times New Roman"/>
                <w:sz w:val="24"/>
                <w:szCs w:val="24"/>
              </w:rPr>
              <w:t>avenacosides</w:t>
            </w:r>
            <w:proofErr w:type="spellEnd"/>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i/>
                <w:iCs/>
                <w:sz w:val="24"/>
                <w:szCs w:val="24"/>
              </w:rPr>
              <w:t>Panax</w:t>
            </w:r>
            <w:proofErr w:type="spellEnd"/>
            <w:r w:rsidRPr="00B14CCC">
              <w:rPr>
                <w:rFonts w:ascii="Times New Roman" w:eastAsia="Times New Roman" w:hAnsi="Times New Roman" w:cs="Times New Roman"/>
                <w:i/>
                <w:iCs/>
                <w:sz w:val="24"/>
                <w:szCs w:val="24"/>
              </w:rPr>
              <w:t xml:space="preserve"> ginseng</w:t>
            </w:r>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i/>
                <w:iCs/>
                <w:sz w:val="24"/>
                <w:szCs w:val="24"/>
              </w:rPr>
              <w:t>Glycyrrhiza</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glabra</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i/>
                <w:iCs/>
                <w:sz w:val="24"/>
                <w:szCs w:val="24"/>
              </w:rPr>
              <w:t>Avena</w:t>
            </w:r>
            <w:proofErr w:type="spellEnd"/>
            <w:r w:rsidRPr="00B14CCC">
              <w:rPr>
                <w:rFonts w:ascii="Times New Roman" w:eastAsia="Times New Roman" w:hAnsi="Times New Roman" w:cs="Times New Roman"/>
                <w:i/>
                <w:iCs/>
                <w:sz w:val="24"/>
                <w:szCs w:val="24"/>
              </w:rPr>
              <w:t xml:space="preserve"> sativa</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sz w:val="24"/>
                <w:szCs w:val="24"/>
              </w:rPr>
              <w:t>Immunomodulatory</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hypocholesterolemic</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adaptogenic</w:t>
            </w:r>
            <w:proofErr w:type="spellEnd"/>
          </w:p>
        </w:tc>
      </w:tr>
      <w:tr w:rsidR="00B14CCC" w:rsidRPr="00B14CCC" w:rsidTr="00B14CCC">
        <w:trPr>
          <w:tblCellSpacing w:w="15" w:type="dxa"/>
        </w:trPr>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Tannins</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Polymeric phenolic compounds</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Condensed tannins, hydrolysable tannins</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Tea, wine, oak bark, witch hazel</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Astringent, antimicrobial, antidiarrheal, wound healing</w:t>
            </w:r>
          </w:p>
        </w:tc>
      </w:tr>
    </w:tbl>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i/>
          <w:iCs/>
          <w:sz w:val="24"/>
          <w:szCs w:val="24"/>
        </w:rPr>
        <w:t>Note.</w:t>
      </w:r>
      <w:r w:rsidRPr="00B14CCC">
        <w:rPr>
          <w:rFonts w:ascii="Times New Roman" w:eastAsia="Times New Roman" w:hAnsi="Times New Roman" w:cs="Times New Roman"/>
          <w:sz w:val="24"/>
          <w:szCs w:val="24"/>
        </w:rPr>
        <w:t xml:space="preserve"> Data compiled from </w:t>
      </w:r>
      <w:proofErr w:type="spellStart"/>
      <w:r w:rsidRPr="00B14CCC">
        <w:rPr>
          <w:rFonts w:ascii="Times New Roman" w:eastAsia="Times New Roman" w:hAnsi="Times New Roman" w:cs="Times New Roman"/>
          <w:sz w:val="24"/>
          <w:szCs w:val="24"/>
        </w:rPr>
        <w:t>Saxena</w:t>
      </w:r>
      <w:proofErr w:type="spellEnd"/>
      <w:r w:rsidRPr="00B14CCC">
        <w:rPr>
          <w:rFonts w:ascii="Times New Roman" w:eastAsia="Times New Roman" w:hAnsi="Times New Roman" w:cs="Times New Roman"/>
          <w:sz w:val="24"/>
          <w:szCs w:val="24"/>
        </w:rPr>
        <w:t xml:space="preserve"> et al. (2013) and </w:t>
      </w:r>
      <w:proofErr w:type="spellStart"/>
      <w:r w:rsidRPr="00B14CCC">
        <w:rPr>
          <w:rFonts w:ascii="Times New Roman" w:eastAsia="Times New Roman" w:hAnsi="Times New Roman" w:cs="Times New Roman"/>
          <w:sz w:val="24"/>
          <w:szCs w:val="24"/>
        </w:rPr>
        <w:t>Atanasov</w:t>
      </w:r>
      <w:proofErr w:type="spellEnd"/>
      <w:r w:rsidRPr="00B14CCC">
        <w:rPr>
          <w:rFonts w:ascii="Times New Roman" w:eastAsia="Times New Roman" w:hAnsi="Times New Roman" w:cs="Times New Roman"/>
          <w:sz w:val="24"/>
          <w:szCs w:val="24"/>
        </w:rPr>
        <w:t xml:space="preserve"> et al. (2015).</w:t>
      </w:r>
    </w:p>
    <w:p w:rsidR="00B14CCC" w:rsidRPr="00B14CCC" w:rsidRDefault="00B14CCC" w:rsidP="00B14CCC">
      <w:pPr>
        <w:jc w:val="both"/>
        <w:rPr>
          <w:rFonts w:ascii="Times New Roman" w:eastAsia="Times New Roman" w:hAnsi="Times New Roman" w:cs="Times New Roman"/>
          <w:sz w:val="24"/>
          <w:szCs w:val="24"/>
        </w:rPr>
      </w:pPr>
      <w:proofErr w:type="gramStart"/>
      <w:r w:rsidRPr="00B14CCC">
        <w:rPr>
          <w:rFonts w:ascii="Times New Roman" w:eastAsia="Times New Roman" w:hAnsi="Times New Roman" w:cs="Times New Roman"/>
          <w:b/>
          <w:bCs/>
          <w:sz w:val="24"/>
          <w:szCs w:val="24"/>
        </w:rPr>
        <w:t>Table 2.</w:t>
      </w:r>
      <w:proofErr w:type="gramEnd"/>
      <w:r w:rsidRPr="00B14CCC">
        <w:rPr>
          <w:rFonts w:ascii="Times New Roman" w:eastAsia="Times New Roman" w:hAnsi="Times New Roman" w:cs="Times New Roman"/>
          <w:b/>
          <w:bCs/>
          <w:sz w:val="24"/>
          <w:szCs w:val="24"/>
        </w:rPr>
        <w:t xml:space="preserve"> Case Studies: Traditional Uses and Scientific Validation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8"/>
        <w:gridCol w:w="1397"/>
        <w:gridCol w:w="2264"/>
        <w:gridCol w:w="1997"/>
        <w:gridCol w:w="2091"/>
      </w:tblGrid>
      <w:tr w:rsidR="00B14CCC" w:rsidRPr="00B14CCC" w:rsidTr="00B14CCC">
        <w:trPr>
          <w:tblHeader/>
          <w:tblCellSpacing w:w="15" w:type="dxa"/>
        </w:trPr>
        <w:tc>
          <w:tcPr>
            <w:tcW w:w="0" w:type="auto"/>
            <w:vAlign w:val="center"/>
            <w:hideMark/>
          </w:tcPr>
          <w:p w:rsidR="00B14CCC" w:rsidRPr="00B14CCC" w:rsidRDefault="00B14CCC" w:rsidP="00B14CCC">
            <w:pPr>
              <w:jc w:val="both"/>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Plant Species</w:t>
            </w:r>
          </w:p>
        </w:tc>
        <w:tc>
          <w:tcPr>
            <w:tcW w:w="0" w:type="auto"/>
            <w:vAlign w:val="center"/>
            <w:hideMark/>
          </w:tcPr>
          <w:p w:rsidR="00B14CCC" w:rsidRPr="00B14CCC" w:rsidRDefault="00B14CCC" w:rsidP="00B14CCC">
            <w:pPr>
              <w:jc w:val="both"/>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Traditional Use</w:t>
            </w:r>
          </w:p>
        </w:tc>
        <w:tc>
          <w:tcPr>
            <w:tcW w:w="0" w:type="auto"/>
            <w:vAlign w:val="center"/>
            <w:hideMark/>
          </w:tcPr>
          <w:p w:rsidR="00B14CCC" w:rsidRPr="00B14CCC" w:rsidRDefault="00B14CCC" w:rsidP="00B14CCC">
            <w:pPr>
              <w:jc w:val="both"/>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Key Bioactive Compounds</w:t>
            </w:r>
          </w:p>
        </w:tc>
        <w:tc>
          <w:tcPr>
            <w:tcW w:w="0" w:type="auto"/>
            <w:vAlign w:val="center"/>
            <w:hideMark/>
          </w:tcPr>
          <w:p w:rsidR="00B14CCC" w:rsidRPr="00B14CCC" w:rsidRDefault="00B14CCC" w:rsidP="00B14CCC">
            <w:pPr>
              <w:jc w:val="both"/>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Validated Activities</w:t>
            </w:r>
          </w:p>
        </w:tc>
        <w:tc>
          <w:tcPr>
            <w:tcW w:w="0" w:type="auto"/>
            <w:vAlign w:val="center"/>
            <w:hideMark/>
          </w:tcPr>
          <w:p w:rsidR="00B14CCC" w:rsidRPr="00B14CCC" w:rsidRDefault="00B14CCC" w:rsidP="00B14CCC">
            <w:pPr>
              <w:jc w:val="both"/>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Clinical Applications</w:t>
            </w:r>
          </w:p>
        </w:tc>
      </w:tr>
      <w:tr w:rsidR="00B14CCC" w:rsidRPr="00B14CCC" w:rsidTr="00B14CCC">
        <w:trPr>
          <w:tblCellSpacing w:w="15" w:type="dxa"/>
        </w:trPr>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i/>
                <w:iCs/>
                <w:sz w:val="24"/>
                <w:szCs w:val="24"/>
              </w:rPr>
              <w:t>Curcuma longa</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Anti-inflammatory, wound healing, digestive disorders (Ayurveda)</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sz w:val="24"/>
                <w:szCs w:val="24"/>
              </w:rPr>
              <w:t>Curcumin</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demethoxycurcumin</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bisdemethoxycurcumin</w:t>
            </w:r>
            <w:proofErr w:type="spellEnd"/>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Anti-inflammatory, antioxidant, anticancer, </w:t>
            </w:r>
            <w:proofErr w:type="spellStart"/>
            <w:r w:rsidRPr="00B14CCC">
              <w:rPr>
                <w:rFonts w:ascii="Times New Roman" w:eastAsia="Times New Roman" w:hAnsi="Times New Roman" w:cs="Times New Roman"/>
                <w:sz w:val="24"/>
                <w:szCs w:val="24"/>
              </w:rPr>
              <w:t>hepatoprotective</w:t>
            </w:r>
            <w:proofErr w:type="spellEnd"/>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Arthritis, inflammatory conditions, cancer prevention</w:t>
            </w:r>
          </w:p>
        </w:tc>
      </w:tr>
      <w:tr w:rsidR="00B14CCC" w:rsidRPr="00B14CCC" w:rsidTr="00B14CCC">
        <w:trPr>
          <w:tblCellSpacing w:w="15" w:type="dxa"/>
        </w:trPr>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i/>
                <w:iCs/>
                <w:sz w:val="24"/>
                <w:szCs w:val="24"/>
              </w:rPr>
              <w:t xml:space="preserve">Artemisia </w:t>
            </w:r>
            <w:proofErr w:type="spellStart"/>
            <w:r w:rsidRPr="00B14CCC">
              <w:rPr>
                <w:rFonts w:ascii="Times New Roman" w:eastAsia="Times New Roman" w:hAnsi="Times New Roman" w:cs="Times New Roman"/>
                <w:i/>
                <w:iCs/>
                <w:sz w:val="24"/>
                <w:szCs w:val="24"/>
              </w:rPr>
              <w:t>annua</w:t>
            </w:r>
            <w:proofErr w:type="spellEnd"/>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Intermittent fevers (TCM)</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sz w:val="24"/>
                <w:szCs w:val="24"/>
              </w:rPr>
              <w:t>Artemisinin</w:t>
            </w:r>
            <w:proofErr w:type="spellEnd"/>
            <w:r w:rsidRPr="00B14CCC">
              <w:rPr>
                <w:rFonts w:ascii="Times New Roman" w:eastAsia="Times New Roman" w:hAnsi="Times New Roman" w:cs="Times New Roman"/>
                <w:sz w:val="24"/>
                <w:szCs w:val="24"/>
              </w:rPr>
              <w:t>, flavonoids</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Antimalarial, </w:t>
            </w:r>
            <w:proofErr w:type="spellStart"/>
            <w:r w:rsidRPr="00B14CCC">
              <w:rPr>
                <w:rFonts w:ascii="Times New Roman" w:eastAsia="Times New Roman" w:hAnsi="Times New Roman" w:cs="Times New Roman"/>
                <w:sz w:val="24"/>
                <w:szCs w:val="24"/>
              </w:rPr>
              <w:t>antiparasitic</w:t>
            </w:r>
            <w:proofErr w:type="spellEnd"/>
            <w:r w:rsidRPr="00B14CCC">
              <w:rPr>
                <w:rFonts w:ascii="Times New Roman" w:eastAsia="Times New Roman" w:hAnsi="Times New Roman" w:cs="Times New Roman"/>
                <w:sz w:val="24"/>
                <w:szCs w:val="24"/>
              </w:rPr>
              <w:t>, anticancer</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Malaria treatment (</w:t>
            </w:r>
            <w:proofErr w:type="spellStart"/>
            <w:r w:rsidRPr="00B14CCC">
              <w:rPr>
                <w:rFonts w:ascii="Times New Roman" w:eastAsia="Times New Roman" w:hAnsi="Times New Roman" w:cs="Times New Roman"/>
                <w:sz w:val="24"/>
                <w:szCs w:val="24"/>
              </w:rPr>
              <w:t>artemisinin</w:t>
            </w:r>
            <w:proofErr w:type="spellEnd"/>
            <w:r w:rsidRPr="00B14CCC">
              <w:rPr>
                <w:rFonts w:ascii="Times New Roman" w:eastAsia="Times New Roman" w:hAnsi="Times New Roman" w:cs="Times New Roman"/>
                <w:sz w:val="24"/>
                <w:szCs w:val="24"/>
              </w:rPr>
              <w:t>-based combination therapies)</w:t>
            </w:r>
          </w:p>
        </w:tc>
      </w:tr>
      <w:tr w:rsidR="00B14CCC" w:rsidRPr="00B14CCC" w:rsidTr="00B14CCC">
        <w:trPr>
          <w:tblCellSpacing w:w="15" w:type="dxa"/>
        </w:trPr>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i/>
                <w:iCs/>
                <w:sz w:val="24"/>
                <w:szCs w:val="24"/>
              </w:rPr>
              <w:t>Azadirachta</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lastRenderedPageBreak/>
              <w:t>indica</w:t>
            </w:r>
            <w:proofErr w:type="spellEnd"/>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 xml:space="preserve">Infections, </w:t>
            </w:r>
            <w:r w:rsidRPr="00B14CCC">
              <w:rPr>
                <w:rFonts w:ascii="Times New Roman" w:eastAsia="Times New Roman" w:hAnsi="Times New Roman" w:cs="Times New Roman"/>
                <w:sz w:val="24"/>
                <w:szCs w:val="24"/>
              </w:rPr>
              <w:lastRenderedPageBreak/>
              <w:t>skin disorders, diabetes (Ayurveda)</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sz w:val="24"/>
                <w:szCs w:val="24"/>
              </w:rPr>
              <w:lastRenderedPageBreak/>
              <w:t>Azadirachtin</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nimbin</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lastRenderedPageBreak/>
              <w:t>nimbidin</w:t>
            </w:r>
            <w:proofErr w:type="spellEnd"/>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Antimicrobial, anti-</w:t>
            </w:r>
            <w:r w:rsidRPr="00B14CCC">
              <w:rPr>
                <w:rFonts w:ascii="Times New Roman" w:eastAsia="Times New Roman" w:hAnsi="Times New Roman" w:cs="Times New Roman"/>
                <w:sz w:val="24"/>
                <w:szCs w:val="24"/>
              </w:rPr>
              <w:lastRenderedPageBreak/>
              <w:t xml:space="preserve">inflammatory, </w:t>
            </w:r>
            <w:proofErr w:type="spellStart"/>
            <w:r w:rsidRPr="00B14CCC">
              <w:rPr>
                <w:rFonts w:ascii="Times New Roman" w:eastAsia="Times New Roman" w:hAnsi="Times New Roman" w:cs="Times New Roman"/>
                <w:sz w:val="24"/>
                <w:szCs w:val="24"/>
              </w:rPr>
              <w:t>antidiabetic</w:t>
            </w:r>
            <w:proofErr w:type="spellEnd"/>
            <w:r w:rsidRPr="00B14CCC">
              <w:rPr>
                <w:rFonts w:ascii="Times New Roman" w:eastAsia="Times New Roman" w:hAnsi="Times New Roman" w:cs="Times New Roman"/>
                <w:sz w:val="24"/>
                <w:szCs w:val="24"/>
              </w:rPr>
              <w:t>, insecticidal</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 xml:space="preserve">Topical </w:t>
            </w:r>
            <w:r w:rsidRPr="00B14CCC">
              <w:rPr>
                <w:rFonts w:ascii="Times New Roman" w:eastAsia="Times New Roman" w:hAnsi="Times New Roman" w:cs="Times New Roman"/>
                <w:sz w:val="24"/>
                <w:szCs w:val="24"/>
              </w:rPr>
              <w:lastRenderedPageBreak/>
              <w:t xml:space="preserve">antimicrobial, oral healthcare, </w:t>
            </w:r>
            <w:proofErr w:type="spellStart"/>
            <w:r w:rsidRPr="00B14CCC">
              <w:rPr>
                <w:rFonts w:ascii="Times New Roman" w:eastAsia="Times New Roman" w:hAnsi="Times New Roman" w:cs="Times New Roman"/>
                <w:sz w:val="24"/>
                <w:szCs w:val="24"/>
              </w:rPr>
              <w:t>biopesticide</w:t>
            </w:r>
            <w:proofErr w:type="spellEnd"/>
          </w:p>
        </w:tc>
      </w:tr>
      <w:tr w:rsidR="00B14CCC" w:rsidRPr="00B14CCC" w:rsidTr="00B14CCC">
        <w:trPr>
          <w:tblCellSpacing w:w="15" w:type="dxa"/>
        </w:trPr>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i/>
                <w:iCs/>
                <w:sz w:val="24"/>
                <w:szCs w:val="24"/>
              </w:rPr>
              <w:lastRenderedPageBreak/>
              <w:t>Echinacea</w:t>
            </w:r>
            <w:r w:rsidRPr="00B14CCC">
              <w:rPr>
                <w:rFonts w:ascii="Times New Roman" w:eastAsia="Times New Roman" w:hAnsi="Times New Roman" w:cs="Times New Roman"/>
                <w:sz w:val="24"/>
                <w:szCs w:val="24"/>
              </w:rPr>
              <w:t xml:space="preserve"> spp.</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Infections, wounds, snake bites (Native American)</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sz w:val="24"/>
                <w:szCs w:val="24"/>
              </w:rPr>
              <w:t>Alkamides</w:t>
            </w:r>
            <w:proofErr w:type="spellEnd"/>
            <w:r w:rsidRPr="00B14CCC">
              <w:rPr>
                <w:rFonts w:ascii="Times New Roman" w:eastAsia="Times New Roman" w:hAnsi="Times New Roman" w:cs="Times New Roman"/>
                <w:sz w:val="24"/>
                <w:szCs w:val="24"/>
              </w:rPr>
              <w:t xml:space="preserve">, </w:t>
            </w:r>
            <w:proofErr w:type="spellStart"/>
            <w:r w:rsidRPr="00B14CCC">
              <w:rPr>
                <w:rFonts w:ascii="Times New Roman" w:eastAsia="Times New Roman" w:hAnsi="Times New Roman" w:cs="Times New Roman"/>
                <w:sz w:val="24"/>
                <w:szCs w:val="24"/>
              </w:rPr>
              <w:t>cichoric</w:t>
            </w:r>
            <w:proofErr w:type="spellEnd"/>
            <w:r w:rsidRPr="00B14CCC">
              <w:rPr>
                <w:rFonts w:ascii="Times New Roman" w:eastAsia="Times New Roman" w:hAnsi="Times New Roman" w:cs="Times New Roman"/>
                <w:sz w:val="24"/>
                <w:szCs w:val="24"/>
              </w:rPr>
              <w:t xml:space="preserve"> acid, polysaccharides</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sz w:val="24"/>
                <w:szCs w:val="24"/>
              </w:rPr>
              <w:t>Immunomodulatory</w:t>
            </w:r>
            <w:proofErr w:type="spellEnd"/>
            <w:r w:rsidRPr="00B14CCC">
              <w:rPr>
                <w:rFonts w:ascii="Times New Roman" w:eastAsia="Times New Roman" w:hAnsi="Times New Roman" w:cs="Times New Roman"/>
                <w:sz w:val="24"/>
                <w:szCs w:val="24"/>
              </w:rPr>
              <w:t>, antiviral, anti-inflammatory</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Common cold prevention/treatment, immune support</w:t>
            </w:r>
          </w:p>
        </w:tc>
      </w:tr>
      <w:tr w:rsidR="00B14CCC" w:rsidRPr="00B14CCC" w:rsidTr="00B14CCC">
        <w:trPr>
          <w:tblCellSpacing w:w="15" w:type="dxa"/>
        </w:trPr>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i/>
                <w:iCs/>
                <w:sz w:val="24"/>
                <w:szCs w:val="24"/>
              </w:rPr>
              <w:t>Catharanthus</w:t>
            </w:r>
            <w:proofErr w:type="spellEnd"/>
            <w:r w:rsidRPr="00B14CCC">
              <w:rPr>
                <w:rFonts w:ascii="Times New Roman" w:eastAsia="Times New Roman" w:hAnsi="Times New Roman" w:cs="Times New Roman"/>
                <w:i/>
                <w:iCs/>
                <w:sz w:val="24"/>
                <w:szCs w:val="24"/>
              </w:rPr>
              <w:t xml:space="preserve"> </w:t>
            </w:r>
            <w:proofErr w:type="spellStart"/>
            <w:r w:rsidRPr="00B14CCC">
              <w:rPr>
                <w:rFonts w:ascii="Times New Roman" w:eastAsia="Times New Roman" w:hAnsi="Times New Roman" w:cs="Times New Roman"/>
                <w:i/>
                <w:iCs/>
                <w:sz w:val="24"/>
                <w:szCs w:val="24"/>
              </w:rPr>
              <w:t>roseus</w:t>
            </w:r>
            <w:proofErr w:type="spellEnd"/>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Diabetes (Malagasy traditional medicine)</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Vinblastine, vincristine, </w:t>
            </w:r>
            <w:proofErr w:type="spellStart"/>
            <w:r w:rsidRPr="00B14CCC">
              <w:rPr>
                <w:rFonts w:ascii="Times New Roman" w:eastAsia="Times New Roman" w:hAnsi="Times New Roman" w:cs="Times New Roman"/>
                <w:sz w:val="24"/>
                <w:szCs w:val="24"/>
              </w:rPr>
              <w:t>ajmalicine</w:t>
            </w:r>
            <w:proofErr w:type="spellEnd"/>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Anticancer, hypotensive</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Chemotherapy for </w:t>
            </w:r>
            <w:proofErr w:type="spellStart"/>
            <w:r w:rsidRPr="00B14CCC">
              <w:rPr>
                <w:rFonts w:ascii="Times New Roman" w:eastAsia="Times New Roman" w:hAnsi="Times New Roman" w:cs="Times New Roman"/>
                <w:sz w:val="24"/>
                <w:szCs w:val="24"/>
              </w:rPr>
              <w:t>leukemias</w:t>
            </w:r>
            <w:proofErr w:type="spellEnd"/>
            <w:r w:rsidRPr="00B14CCC">
              <w:rPr>
                <w:rFonts w:ascii="Times New Roman" w:eastAsia="Times New Roman" w:hAnsi="Times New Roman" w:cs="Times New Roman"/>
                <w:sz w:val="24"/>
                <w:szCs w:val="24"/>
              </w:rPr>
              <w:t>, lymphomas, solid tumors</w:t>
            </w:r>
          </w:p>
        </w:tc>
      </w:tr>
      <w:tr w:rsidR="00B14CCC" w:rsidRPr="00B14CCC" w:rsidTr="00B14CCC">
        <w:trPr>
          <w:tblCellSpacing w:w="15" w:type="dxa"/>
        </w:trPr>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i/>
                <w:iCs/>
                <w:sz w:val="24"/>
                <w:szCs w:val="24"/>
              </w:rPr>
              <w:t xml:space="preserve">Ginkgo </w:t>
            </w:r>
            <w:proofErr w:type="spellStart"/>
            <w:r w:rsidRPr="00B14CCC">
              <w:rPr>
                <w:rFonts w:ascii="Times New Roman" w:eastAsia="Times New Roman" w:hAnsi="Times New Roman" w:cs="Times New Roman"/>
                <w:i/>
                <w:iCs/>
                <w:sz w:val="24"/>
                <w:szCs w:val="24"/>
              </w:rPr>
              <w:t>biloba</w:t>
            </w:r>
            <w:proofErr w:type="spellEnd"/>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Cognitive enhancement, circulatory disorders (TCM)</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Flavone glycosides, </w:t>
            </w:r>
            <w:proofErr w:type="spellStart"/>
            <w:r w:rsidRPr="00B14CCC">
              <w:rPr>
                <w:rFonts w:ascii="Times New Roman" w:eastAsia="Times New Roman" w:hAnsi="Times New Roman" w:cs="Times New Roman"/>
                <w:sz w:val="24"/>
                <w:szCs w:val="24"/>
              </w:rPr>
              <w:t>terpene</w:t>
            </w:r>
            <w:proofErr w:type="spellEnd"/>
            <w:r w:rsidRPr="00B14CCC">
              <w:rPr>
                <w:rFonts w:ascii="Times New Roman" w:eastAsia="Times New Roman" w:hAnsi="Times New Roman" w:cs="Times New Roman"/>
                <w:sz w:val="24"/>
                <w:szCs w:val="24"/>
              </w:rPr>
              <w:t xml:space="preserve"> lactones</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sz w:val="24"/>
                <w:szCs w:val="24"/>
              </w:rPr>
              <w:t>Neuroprotective</w:t>
            </w:r>
            <w:proofErr w:type="spellEnd"/>
            <w:r w:rsidRPr="00B14CCC">
              <w:rPr>
                <w:rFonts w:ascii="Times New Roman" w:eastAsia="Times New Roman" w:hAnsi="Times New Roman" w:cs="Times New Roman"/>
                <w:sz w:val="24"/>
                <w:szCs w:val="24"/>
              </w:rPr>
              <w:t>, cognitive enhancement, circulatory improvement</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Cognitive decline, peripheral vascular disease, tinnitus</w:t>
            </w:r>
          </w:p>
        </w:tc>
      </w:tr>
    </w:tbl>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i/>
          <w:iCs/>
          <w:sz w:val="24"/>
          <w:szCs w:val="24"/>
        </w:rPr>
        <w:t>Note.</w:t>
      </w:r>
      <w:r w:rsidRPr="00B14CCC">
        <w:rPr>
          <w:rFonts w:ascii="Times New Roman" w:eastAsia="Times New Roman" w:hAnsi="Times New Roman" w:cs="Times New Roman"/>
          <w:sz w:val="24"/>
          <w:szCs w:val="24"/>
        </w:rPr>
        <w:t xml:space="preserve"> Clinical applications represent validated uses; not all traditional applications have been scientifically confirmed. Data synthesized from multiple sources cited in text.</w:t>
      </w:r>
    </w:p>
    <w:p w:rsidR="00B14CCC" w:rsidRPr="00B14CCC" w:rsidRDefault="00B14CCC" w:rsidP="00B14CCC">
      <w:pPr>
        <w:jc w:val="both"/>
        <w:rPr>
          <w:rFonts w:ascii="Times New Roman" w:eastAsia="Times New Roman" w:hAnsi="Times New Roman" w:cs="Times New Roman"/>
          <w:sz w:val="24"/>
          <w:szCs w:val="24"/>
        </w:rPr>
      </w:pPr>
      <w:proofErr w:type="gramStart"/>
      <w:r w:rsidRPr="00B14CCC">
        <w:rPr>
          <w:rFonts w:ascii="Times New Roman" w:eastAsia="Times New Roman" w:hAnsi="Times New Roman" w:cs="Times New Roman"/>
          <w:b/>
          <w:bCs/>
          <w:sz w:val="24"/>
          <w:szCs w:val="24"/>
        </w:rPr>
        <w:t>Table 3.</w:t>
      </w:r>
      <w:proofErr w:type="gramEnd"/>
      <w:r w:rsidRPr="00B14CCC">
        <w:rPr>
          <w:rFonts w:ascii="Times New Roman" w:eastAsia="Times New Roman" w:hAnsi="Times New Roman" w:cs="Times New Roman"/>
          <w:b/>
          <w:bCs/>
          <w:sz w:val="24"/>
          <w:szCs w:val="24"/>
        </w:rPr>
        <w:t xml:space="preserve"> Modern Analytical Techniques in Phytochemical Research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6"/>
        <w:gridCol w:w="1925"/>
        <w:gridCol w:w="1764"/>
        <w:gridCol w:w="1746"/>
        <w:gridCol w:w="2286"/>
      </w:tblGrid>
      <w:tr w:rsidR="00B14CCC" w:rsidRPr="00B14CCC" w:rsidTr="00B14CCC">
        <w:trPr>
          <w:tblHeader/>
          <w:tblCellSpacing w:w="15" w:type="dxa"/>
        </w:trPr>
        <w:tc>
          <w:tcPr>
            <w:tcW w:w="0" w:type="auto"/>
            <w:vAlign w:val="center"/>
            <w:hideMark/>
          </w:tcPr>
          <w:p w:rsidR="00B14CCC" w:rsidRPr="00B14CCC" w:rsidRDefault="00B14CCC" w:rsidP="00B14CCC">
            <w:pPr>
              <w:jc w:val="both"/>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Technique</w:t>
            </w:r>
          </w:p>
        </w:tc>
        <w:tc>
          <w:tcPr>
            <w:tcW w:w="0" w:type="auto"/>
            <w:vAlign w:val="center"/>
            <w:hideMark/>
          </w:tcPr>
          <w:p w:rsidR="00B14CCC" w:rsidRPr="00B14CCC" w:rsidRDefault="00B14CCC" w:rsidP="00B14CCC">
            <w:pPr>
              <w:jc w:val="both"/>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Principle</w:t>
            </w:r>
          </w:p>
        </w:tc>
        <w:tc>
          <w:tcPr>
            <w:tcW w:w="0" w:type="auto"/>
            <w:vAlign w:val="center"/>
            <w:hideMark/>
          </w:tcPr>
          <w:p w:rsidR="00B14CCC" w:rsidRPr="00B14CCC" w:rsidRDefault="00B14CCC" w:rsidP="00B14CCC">
            <w:pPr>
              <w:jc w:val="both"/>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Applications</w:t>
            </w:r>
          </w:p>
        </w:tc>
        <w:tc>
          <w:tcPr>
            <w:tcW w:w="0" w:type="auto"/>
            <w:vAlign w:val="center"/>
            <w:hideMark/>
          </w:tcPr>
          <w:p w:rsidR="00B14CCC" w:rsidRPr="00B14CCC" w:rsidRDefault="00B14CCC" w:rsidP="00B14CCC">
            <w:pPr>
              <w:jc w:val="both"/>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Advantages</w:t>
            </w:r>
          </w:p>
        </w:tc>
        <w:tc>
          <w:tcPr>
            <w:tcW w:w="0" w:type="auto"/>
            <w:vAlign w:val="center"/>
            <w:hideMark/>
          </w:tcPr>
          <w:p w:rsidR="00B14CCC" w:rsidRPr="00B14CCC" w:rsidRDefault="00B14CCC" w:rsidP="00B14CCC">
            <w:pPr>
              <w:jc w:val="both"/>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Limitations</w:t>
            </w:r>
          </w:p>
        </w:tc>
      </w:tr>
      <w:tr w:rsidR="00B14CCC" w:rsidRPr="00B14CCC" w:rsidTr="00B14CCC">
        <w:trPr>
          <w:tblCellSpacing w:w="15" w:type="dxa"/>
        </w:trPr>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HPLC-MS/MS</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Chromatographic separation coupled with mass spectrometry</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Identification and quantification of phytochemicals</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High sensitivity, structural information, suitable for complex mixtures</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Requires ionization, expensive instrumentation</w:t>
            </w:r>
          </w:p>
        </w:tc>
      </w:tr>
      <w:tr w:rsidR="00B14CCC" w:rsidRPr="00B14CCC" w:rsidTr="00B14CCC">
        <w:trPr>
          <w:tblCellSpacing w:w="15" w:type="dxa"/>
        </w:trPr>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GC-MS</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Gas chromatography coupled with mass spectrometry</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Volatile compound analysis, essential oils</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Excellent separation, comprehensive databases</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Limited to volatile/</w:t>
            </w:r>
            <w:proofErr w:type="spellStart"/>
            <w:r w:rsidRPr="00B14CCC">
              <w:rPr>
                <w:rFonts w:ascii="Times New Roman" w:eastAsia="Times New Roman" w:hAnsi="Times New Roman" w:cs="Times New Roman"/>
                <w:sz w:val="24"/>
                <w:szCs w:val="24"/>
              </w:rPr>
              <w:t>derivatizable</w:t>
            </w:r>
            <w:proofErr w:type="spellEnd"/>
            <w:r w:rsidRPr="00B14CCC">
              <w:rPr>
                <w:rFonts w:ascii="Times New Roman" w:eastAsia="Times New Roman" w:hAnsi="Times New Roman" w:cs="Times New Roman"/>
                <w:sz w:val="24"/>
                <w:szCs w:val="24"/>
              </w:rPr>
              <w:t xml:space="preserve"> compounds</w:t>
            </w:r>
          </w:p>
        </w:tc>
      </w:tr>
      <w:tr w:rsidR="00B14CCC" w:rsidRPr="00B14CCC" w:rsidTr="00B14CCC">
        <w:trPr>
          <w:tblCellSpacing w:w="15" w:type="dxa"/>
        </w:trPr>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NMR </w:t>
            </w:r>
            <w:r w:rsidRPr="00B14CCC">
              <w:rPr>
                <w:rFonts w:ascii="Times New Roman" w:eastAsia="Times New Roman" w:hAnsi="Times New Roman" w:cs="Times New Roman"/>
                <w:sz w:val="24"/>
                <w:szCs w:val="24"/>
              </w:rPr>
              <w:lastRenderedPageBreak/>
              <w:t>Spectroscopy</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 xml:space="preserve">Nuclear magnetic </w:t>
            </w:r>
            <w:r w:rsidRPr="00B14CCC">
              <w:rPr>
                <w:rFonts w:ascii="Times New Roman" w:eastAsia="Times New Roman" w:hAnsi="Times New Roman" w:cs="Times New Roman"/>
                <w:sz w:val="24"/>
                <w:szCs w:val="24"/>
              </w:rPr>
              <w:lastRenderedPageBreak/>
              <w:t>resonance for structural elucidation</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 xml:space="preserve">Complete </w:t>
            </w:r>
            <w:r w:rsidRPr="00B14CCC">
              <w:rPr>
                <w:rFonts w:ascii="Times New Roman" w:eastAsia="Times New Roman" w:hAnsi="Times New Roman" w:cs="Times New Roman"/>
                <w:sz w:val="24"/>
                <w:szCs w:val="24"/>
              </w:rPr>
              <w:lastRenderedPageBreak/>
              <w:t>structural determination, metabolomics</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 xml:space="preserve">Non-destructive, </w:t>
            </w:r>
            <w:r w:rsidRPr="00B14CCC">
              <w:rPr>
                <w:rFonts w:ascii="Times New Roman" w:eastAsia="Times New Roman" w:hAnsi="Times New Roman" w:cs="Times New Roman"/>
                <w:sz w:val="24"/>
                <w:szCs w:val="24"/>
              </w:rPr>
              <w:lastRenderedPageBreak/>
              <w:t>quantitative, detailed structural information</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 xml:space="preserve">Lower sensitivity, </w:t>
            </w:r>
            <w:r w:rsidRPr="00B14CCC">
              <w:rPr>
                <w:rFonts w:ascii="Times New Roman" w:eastAsia="Times New Roman" w:hAnsi="Times New Roman" w:cs="Times New Roman"/>
                <w:sz w:val="24"/>
                <w:szCs w:val="24"/>
              </w:rPr>
              <w:lastRenderedPageBreak/>
              <w:t>requires relatively pure samples</w:t>
            </w:r>
          </w:p>
        </w:tc>
      </w:tr>
      <w:tr w:rsidR="00B14CCC" w:rsidRPr="00B14CCC" w:rsidTr="00B14CCC">
        <w:trPr>
          <w:tblCellSpacing w:w="15" w:type="dxa"/>
        </w:trPr>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UPLC</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Ultra-performance liquid chromatography</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Rapid separation and analysis</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High resolution, fast analysis, lower solvent consumption</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Requires specialized equipment, high pressure</w:t>
            </w:r>
          </w:p>
        </w:tc>
      </w:tr>
      <w:tr w:rsidR="00B14CCC" w:rsidRPr="00B14CCC" w:rsidTr="00B14CCC">
        <w:trPr>
          <w:tblCellSpacing w:w="15" w:type="dxa"/>
        </w:trPr>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DNA Barcoding</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Genetic sequencing for species identification</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Authentication, quality control, species identification</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Species-specific, detects adulterants</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Requires specialized expertise, cannot detect chemical variations</w:t>
            </w:r>
          </w:p>
        </w:tc>
      </w:tr>
      <w:tr w:rsidR="00B14CCC" w:rsidRPr="00B14CCC" w:rsidTr="00B14CCC">
        <w:trPr>
          <w:tblCellSpacing w:w="15" w:type="dxa"/>
        </w:trPr>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FTIR</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Fourier-transform infrared spectroscopy</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Fingerprinting, quality control, functional group identification</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Rapid, non-destructive, minimal sample preparation</w:t>
            </w:r>
          </w:p>
        </w:tc>
        <w:tc>
          <w:tcPr>
            <w:tcW w:w="0" w:type="auto"/>
            <w:vAlign w:val="center"/>
            <w:hideMark/>
          </w:tcPr>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Limited specificity, qualitative</w:t>
            </w:r>
          </w:p>
        </w:tc>
      </w:tr>
    </w:tbl>
    <w:p w:rsidR="00B14CCC" w:rsidRPr="00B14CCC" w:rsidRDefault="00B14CCC"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i/>
          <w:iCs/>
          <w:sz w:val="24"/>
          <w:szCs w:val="24"/>
        </w:rPr>
        <w:t>Note.</w:t>
      </w:r>
      <w:r w:rsidRPr="00B14CCC">
        <w:rPr>
          <w:rFonts w:ascii="Times New Roman" w:eastAsia="Times New Roman" w:hAnsi="Times New Roman" w:cs="Times New Roman"/>
          <w:sz w:val="24"/>
          <w:szCs w:val="24"/>
        </w:rPr>
        <w:t xml:space="preserve"> </w:t>
      </w:r>
      <w:proofErr w:type="gramStart"/>
      <w:r w:rsidRPr="00B14CCC">
        <w:rPr>
          <w:rFonts w:ascii="Times New Roman" w:eastAsia="Times New Roman" w:hAnsi="Times New Roman" w:cs="Times New Roman"/>
          <w:sz w:val="24"/>
          <w:szCs w:val="24"/>
        </w:rPr>
        <w:t xml:space="preserve">Adapted from </w:t>
      </w:r>
      <w:proofErr w:type="spellStart"/>
      <w:r w:rsidRPr="00B14CCC">
        <w:rPr>
          <w:rFonts w:ascii="Times New Roman" w:eastAsia="Times New Roman" w:hAnsi="Times New Roman" w:cs="Times New Roman"/>
          <w:sz w:val="24"/>
          <w:szCs w:val="24"/>
        </w:rPr>
        <w:t>Wolfender</w:t>
      </w:r>
      <w:proofErr w:type="spellEnd"/>
      <w:r w:rsidRPr="00B14CCC">
        <w:rPr>
          <w:rFonts w:ascii="Times New Roman" w:eastAsia="Times New Roman" w:hAnsi="Times New Roman" w:cs="Times New Roman"/>
          <w:sz w:val="24"/>
          <w:szCs w:val="24"/>
        </w:rPr>
        <w:t xml:space="preserve"> et al. (2015) and </w:t>
      </w:r>
      <w:proofErr w:type="spellStart"/>
      <w:r w:rsidRPr="00B14CCC">
        <w:rPr>
          <w:rFonts w:ascii="Times New Roman" w:eastAsia="Times New Roman" w:hAnsi="Times New Roman" w:cs="Times New Roman"/>
          <w:sz w:val="24"/>
          <w:szCs w:val="24"/>
        </w:rPr>
        <w:t>Ganie</w:t>
      </w:r>
      <w:proofErr w:type="spellEnd"/>
      <w:r w:rsidRPr="00B14CCC">
        <w:rPr>
          <w:rFonts w:ascii="Times New Roman" w:eastAsia="Times New Roman" w:hAnsi="Times New Roman" w:cs="Times New Roman"/>
          <w:sz w:val="24"/>
          <w:szCs w:val="24"/>
        </w:rPr>
        <w:t xml:space="preserve"> et al. (2015).</w:t>
      </w:r>
      <w:proofErr w:type="gramEnd"/>
    </w:p>
    <w:p w:rsidR="000216FD" w:rsidRPr="00B14CCC" w:rsidRDefault="000216FD"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11. Conclusion</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systematic investigation of medicinal plants used in traditional medicine systems represents a productive intersection of ancestral wisdom and contemporary science, yielding substantial evidence supporting therapeutic applications while providing leads for pharmaceutical development and contributing to scientific understanding of plant chemistry and pharmacology. This comprehensive review has examined phytochemical composition and validated biological activities of traditional medicinal plants, demonstrating significant correlations between indigenous applications and scientifically documented bioactivities across diverse therapeutic categories including antimicrobial, anti-inflammatory, antioxidant, and anticancer properties. The examples discussed—ranging from well-established pharmaceutical drugs like </w:t>
      </w:r>
      <w:proofErr w:type="spellStart"/>
      <w:r w:rsidRPr="00B14CCC">
        <w:rPr>
          <w:rFonts w:ascii="Times New Roman" w:eastAsia="Times New Roman" w:hAnsi="Times New Roman" w:cs="Times New Roman"/>
          <w:sz w:val="24"/>
          <w:szCs w:val="24"/>
        </w:rPr>
        <w:t>artemisinin</w:t>
      </w:r>
      <w:proofErr w:type="spellEnd"/>
      <w:r w:rsidRPr="00B14CCC">
        <w:rPr>
          <w:rFonts w:ascii="Times New Roman" w:eastAsia="Times New Roman" w:hAnsi="Times New Roman" w:cs="Times New Roman"/>
          <w:sz w:val="24"/>
          <w:szCs w:val="24"/>
        </w:rPr>
        <w:t xml:space="preserve"> and </w:t>
      </w:r>
      <w:proofErr w:type="spellStart"/>
      <w:r w:rsidRPr="00B14CCC">
        <w:rPr>
          <w:rFonts w:ascii="Times New Roman" w:eastAsia="Times New Roman" w:hAnsi="Times New Roman" w:cs="Times New Roman"/>
          <w:sz w:val="24"/>
          <w:szCs w:val="24"/>
        </w:rPr>
        <w:t>vinca</w:t>
      </w:r>
      <w:proofErr w:type="spellEnd"/>
      <w:r w:rsidRPr="00B14CCC">
        <w:rPr>
          <w:rFonts w:ascii="Times New Roman" w:eastAsia="Times New Roman" w:hAnsi="Times New Roman" w:cs="Times New Roman"/>
          <w:sz w:val="24"/>
          <w:szCs w:val="24"/>
        </w:rPr>
        <w:t xml:space="preserve"> alkaloids to widely used herbal products like turmeric and </w:t>
      </w:r>
      <w:proofErr w:type="spellStart"/>
      <w:r w:rsidRPr="00B14CCC">
        <w:rPr>
          <w:rFonts w:ascii="Times New Roman" w:eastAsia="Times New Roman" w:hAnsi="Times New Roman" w:cs="Times New Roman"/>
          <w:sz w:val="24"/>
          <w:szCs w:val="24"/>
        </w:rPr>
        <w:t>echinacea</w:t>
      </w:r>
      <w:proofErr w:type="spellEnd"/>
      <w:r w:rsidRPr="00B14CCC">
        <w:rPr>
          <w:rFonts w:ascii="Times New Roman" w:eastAsia="Times New Roman" w:hAnsi="Times New Roman" w:cs="Times New Roman"/>
          <w:sz w:val="24"/>
          <w:szCs w:val="24"/>
        </w:rPr>
        <w:t>—</w:t>
      </w:r>
      <w:proofErr w:type="gramStart"/>
      <w:r w:rsidRPr="00B14CCC">
        <w:rPr>
          <w:rFonts w:ascii="Times New Roman" w:eastAsia="Times New Roman" w:hAnsi="Times New Roman" w:cs="Times New Roman"/>
          <w:sz w:val="24"/>
          <w:szCs w:val="24"/>
        </w:rPr>
        <w:t>illustrate</w:t>
      </w:r>
      <w:proofErr w:type="gramEnd"/>
      <w:r w:rsidRPr="00B14CCC">
        <w:rPr>
          <w:rFonts w:ascii="Times New Roman" w:eastAsia="Times New Roman" w:hAnsi="Times New Roman" w:cs="Times New Roman"/>
          <w:sz w:val="24"/>
          <w:szCs w:val="24"/>
        </w:rPr>
        <w:t xml:space="preserve"> both the remarkable successes and ongoing challenges in translating traditional knowledge into evidence-based therapeutics.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validation of traditional medicinal knowledge through modern analytical and pharmacological methodologies serves multiple important purposes beyond simply confirming or refuting traditional claims. Scientific investigation provides mechanistic insights explaining how traditional medicines exert therapeutic effects, identifies specific bioactive constituents responsible for observed activities, establishes appropriate dosing and safety parameters, and identifies potential applications not recognized in traditional practice. Furthermore, scientific validation enhances credibility and acceptance of herbal medicines </w:t>
      </w:r>
      <w:r w:rsidRPr="00B14CCC">
        <w:rPr>
          <w:rFonts w:ascii="Times New Roman" w:eastAsia="Times New Roman" w:hAnsi="Times New Roman" w:cs="Times New Roman"/>
          <w:sz w:val="24"/>
          <w:szCs w:val="24"/>
        </w:rPr>
        <w:lastRenderedPageBreak/>
        <w:t>within conventional healthcare systems, facilitating integration and expanding treatment options for patients. However, the reductionist approaches typical in Western science may sometimes fail to capture holistic effects and synergistic interactions emphasized in traditional medicine systems, highlighting the importance of employing diverse methodological approaches that can address different aspects of medicinal plant actions.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impressive diversity of phytochemical constituents found in medicinal plants—spanning alkaloids, flavonoids, </w:t>
      </w:r>
      <w:proofErr w:type="spellStart"/>
      <w:r w:rsidRPr="00B14CCC">
        <w:rPr>
          <w:rFonts w:ascii="Times New Roman" w:eastAsia="Times New Roman" w:hAnsi="Times New Roman" w:cs="Times New Roman"/>
          <w:sz w:val="24"/>
          <w:szCs w:val="24"/>
        </w:rPr>
        <w:t>terpenoids</w:t>
      </w:r>
      <w:proofErr w:type="spellEnd"/>
      <w:r w:rsidRPr="00B14CCC">
        <w:rPr>
          <w:rFonts w:ascii="Times New Roman" w:eastAsia="Times New Roman" w:hAnsi="Times New Roman" w:cs="Times New Roman"/>
          <w:sz w:val="24"/>
          <w:szCs w:val="24"/>
        </w:rPr>
        <w:t>, phenolic compounds, and numerous other structural classes—reflects the evolutionary pressures that shaped plant secondary metabolism for ecological functions. This chemical diversity translates into remarkable pharmacological versatility, with many plants demonstrating multiple complementary biological activities that may contribute to therapeutic effects through synergistic mechanisms. Understanding these complex interactions represents an ongoing challenge requiring sophisticated analytical and pharmacological approaches, yet holds promise for developing more effective therapeutic agents that leverage natural synergies rather than fighting against them. The concept of synergy and the "entourage effect" deserve continued investigation, as they may explain why whole-plant preparations sometimes demonstrate superior efficacy compared to isolated pure compounds.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Quality control, standardization, and safety monitoring emerge as critical priorities for ensuring that validation efforts translate into safe, effective herbal products. The inherent variability of botanical materials, risks of contamination and adulteration, and potential for herb-drug interactions necessitate comprehensive quality assurance systems and </w:t>
      </w:r>
      <w:proofErr w:type="spellStart"/>
      <w:r w:rsidRPr="00B14CCC">
        <w:rPr>
          <w:rFonts w:ascii="Times New Roman" w:eastAsia="Times New Roman" w:hAnsi="Times New Roman" w:cs="Times New Roman"/>
          <w:sz w:val="24"/>
          <w:szCs w:val="24"/>
        </w:rPr>
        <w:t>pharmacovigilance</w:t>
      </w:r>
      <w:proofErr w:type="spellEnd"/>
      <w:r w:rsidRPr="00B14CCC">
        <w:rPr>
          <w:rFonts w:ascii="Times New Roman" w:eastAsia="Times New Roman" w:hAnsi="Times New Roman" w:cs="Times New Roman"/>
          <w:sz w:val="24"/>
          <w:szCs w:val="24"/>
        </w:rPr>
        <w:t xml:space="preserve"> programs. While challenges exist in standardizing complex botanical preparations, various approaches including marker compound quantification, comprehensive phytochemical fingerprinting, and DNA authentication provide tools for ensuring consistent product quality. Regulatory frameworks must balance ensuring safety and efficacy with maintaining accessibility and preserving traditional preparation methods, a balance that remains elusive in many jurisdictions but represents an essential component of successful integration of traditional and conventional medicine.</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Conservation and sustainability considerations are paramount, as increasing demand for medicinal plants threatens numerous species with overharvesting and habitat loss. Sustainable solutions require integrated approaches combining cultivation, wild-harvesting management, protected area establishment, and market interventions that create economic incentives for conservation. The loss of medicinal plant biodiversity represents not only ecological impoverishment but also forfeiture of potentially valuable therapeutic resources and erosion of traditional knowledge systems dependent on these resources. Climate change adds urgency to conservation efforts, as shifting environmental conditions threaten medicinal plant populations and may alter phytochemical profiles affecting therapeutic efficacy.</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Ethical considerations surrounding intellectual property rights, benefit-sharing, and respect for indigenous sovereignty over traditional knowledge and genetic resources represent fundamental issues that must be addressed for </w:t>
      </w:r>
      <w:proofErr w:type="spellStart"/>
      <w:r w:rsidRPr="00B14CCC">
        <w:rPr>
          <w:rFonts w:ascii="Times New Roman" w:eastAsia="Times New Roman" w:hAnsi="Times New Roman" w:cs="Times New Roman"/>
          <w:sz w:val="24"/>
          <w:szCs w:val="24"/>
        </w:rPr>
        <w:t>ethnopharmacological</w:t>
      </w:r>
      <w:proofErr w:type="spellEnd"/>
      <w:r w:rsidRPr="00B14CCC">
        <w:rPr>
          <w:rFonts w:ascii="Times New Roman" w:eastAsia="Times New Roman" w:hAnsi="Times New Roman" w:cs="Times New Roman"/>
          <w:sz w:val="24"/>
          <w:szCs w:val="24"/>
        </w:rPr>
        <w:t xml:space="preserve"> research to proceed ethically and equitably. The history of </w:t>
      </w:r>
      <w:proofErr w:type="spellStart"/>
      <w:r w:rsidRPr="00B14CCC">
        <w:rPr>
          <w:rFonts w:ascii="Times New Roman" w:eastAsia="Times New Roman" w:hAnsi="Times New Roman" w:cs="Times New Roman"/>
          <w:sz w:val="24"/>
          <w:szCs w:val="24"/>
        </w:rPr>
        <w:t>bioprospecting</w:t>
      </w:r>
      <w:proofErr w:type="spellEnd"/>
      <w:r w:rsidRPr="00B14CCC">
        <w:rPr>
          <w:rFonts w:ascii="Times New Roman" w:eastAsia="Times New Roman" w:hAnsi="Times New Roman" w:cs="Times New Roman"/>
          <w:sz w:val="24"/>
          <w:szCs w:val="24"/>
        </w:rPr>
        <w:t xml:space="preserve"> includes too many examples of </w:t>
      </w:r>
      <w:r w:rsidRPr="00B14CCC">
        <w:rPr>
          <w:rFonts w:ascii="Times New Roman" w:eastAsia="Times New Roman" w:hAnsi="Times New Roman" w:cs="Times New Roman"/>
          <w:sz w:val="24"/>
          <w:szCs w:val="24"/>
        </w:rPr>
        <w:lastRenderedPageBreak/>
        <w:t>exploitation where indigenous knowledge and biological resources were commercialized without appropriate compensation or recognition, generating justified mistrust and hindering collaborative research efforts. Implementation of equitable benefit-sharing arrangements, meaningful community engagement, and capacity building within indigenous communities represents not only ethical imperatives but practical necessities for successful long-term research collaborations. The Convention on Biological Diversity and Nagoya Protocol provide frameworks for addressing these issues, though implementation challenges persist and continued attention to ethical practices remains essential.</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integration of validated medicinal plants into modern healthcare systems offers opportunities to expand therapeutic options, improve healthcare accessibility particularly in resource-limited settings, and provide more holistic, patient-centered care that respects diverse healing traditions. However, successful integration requires evidence-based approaches balancing traditional knowledge with scientific validation, coordination between traditional and conventional practitioners, comprehensive safety monitoring, and education of both healthcare providers and patients regarding appropriate use. Different integration models suit different contexts, and flexibility in approaches while maintaining core principles of safety, efficacy, and equity represents an appropriate strategy. Patient preferences and cultural factors must be considered, as medicinal plants hold significance beyond their pharmacological properties, embodying cultural identity, spiritual beliefs, and traditional practices that contribute to their perceived value and therapeutic effects through mechanisms not fully captured by conventional scientific frameworks.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Looking forward, emerging technologies and methodologies create exciting opportunities for advancing </w:t>
      </w:r>
      <w:proofErr w:type="spellStart"/>
      <w:r w:rsidRPr="00B14CCC">
        <w:rPr>
          <w:rFonts w:ascii="Times New Roman" w:eastAsia="Times New Roman" w:hAnsi="Times New Roman" w:cs="Times New Roman"/>
          <w:sz w:val="24"/>
          <w:szCs w:val="24"/>
        </w:rPr>
        <w:t>ethnopharmacological</w:t>
      </w:r>
      <w:proofErr w:type="spellEnd"/>
      <w:r w:rsidRPr="00B14CCC">
        <w:rPr>
          <w:rFonts w:ascii="Times New Roman" w:eastAsia="Times New Roman" w:hAnsi="Times New Roman" w:cs="Times New Roman"/>
          <w:sz w:val="24"/>
          <w:szCs w:val="24"/>
        </w:rPr>
        <w:t xml:space="preserve"> research and development. Systems biology approaches, metabolomics, nanotechnology, synthetic biology, and </w:t>
      </w:r>
      <w:proofErr w:type="spellStart"/>
      <w:r w:rsidRPr="00B14CCC">
        <w:rPr>
          <w:rFonts w:ascii="Times New Roman" w:eastAsia="Times New Roman" w:hAnsi="Times New Roman" w:cs="Times New Roman"/>
          <w:sz w:val="24"/>
          <w:szCs w:val="24"/>
        </w:rPr>
        <w:t>microbiome</w:t>
      </w:r>
      <w:proofErr w:type="spellEnd"/>
      <w:r w:rsidRPr="00B14CCC">
        <w:rPr>
          <w:rFonts w:ascii="Times New Roman" w:eastAsia="Times New Roman" w:hAnsi="Times New Roman" w:cs="Times New Roman"/>
          <w:sz w:val="24"/>
          <w:szCs w:val="24"/>
        </w:rPr>
        <w:t xml:space="preserve"> research offer new tools for understanding medicinal plant actions, overcoming bioavailability challenges, ensuring sustainable supply, and personalizing treatments. These advances must be pursued while maintaining connection to traditional knowledge sources and respecting indigenous intellectual property rights. The continued documentation and preservation of traditional medicinal knowledge represents an urgent priority, as cultural erosion threatens this invaluable human heritage even as its scientific validation proceeds.</w:t>
      </w:r>
    </w:p>
    <w:p w:rsidR="000216FD" w:rsidRPr="00B14CCC" w:rsidRDefault="000216FD"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In conclusion, the phytochemical analysis and pharmacological validation of traditional medicinal plants demonstrates the remarkable complementarity of indigenous wisdom and modern science. Traditional knowledge systems, developed through millennia of empirical observation and cultural transmission, have identified numerous therapeutically valuable plants that continue to serve as sources of medicines and leads for pharmaceutical development. Contemporary scientific methodologies provide tools for validating traditional applications, elucidating mechanisms of action, identifying bioactive constituents, and optimizing therapeutic use while ensuring safety. The successful integration of these complementary knowledge systems requires mutual respect, ethical practices, and recognition that both traditional and scientific approaches offer valuable insights into the therapeutic potential of plants. As humanity faces ongoing health challenges including emerging infectious diseases, chronic diseases associated with aging populations, and antibiotic </w:t>
      </w:r>
      <w:r w:rsidRPr="00B14CCC">
        <w:rPr>
          <w:rFonts w:ascii="Times New Roman" w:eastAsia="Times New Roman" w:hAnsi="Times New Roman" w:cs="Times New Roman"/>
          <w:sz w:val="24"/>
          <w:szCs w:val="24"/>
        </w:rPr>
        <w:lastRenderedPageBreak/>
        <w:t>resistance, the vast repository of traditional medicinal plant knowledge, combined with modern scientific capabilities, offers a promising foundation for developing effective, accessible, and sustainable therapeutic solutions. The validation of ancient wisdom through modern science is not merely an academic exercise but a practical endeavor with profound implications for global health, biodiversity conservation, cultural preservation, and the advancement of more holistic, integrative approaches to healthcare that honor diverse healing traditions while maintaining rigorous evidence-based standards.</w:t>
      </w:r>
    </w:p>
    <w:p w:rsidR="000216FD" w:rsidRPr="00B14CCC" w:rsidRDefault="000216FD"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References</w:t>
      </w:r>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Aggarwal, B. B., &amp; Harikumar, K. B. (2009). Potential therapeutic effects of curcumin, the anti-inflammatory agent, against neurodegenerative, cardiovascular, pulmonary, metabolic, autoimmune and neoplastic diseases. </w:t>
      </w:r>
      <w:r w:rsidRPr="00B14CCC">
        <w:rPr>
          <w:rFonts w:ascii="Times New Roman" w:eastAsia="Times New Roman" w:hAnsi="Times New Roman" w:cs="Times New Roman"/>
          <w:i/>
          <w:iCs/>
          <w:sz w:val="24"/>
          <w:szCs w:val="24"/>
        </w:rPr>
        <w:t>The International Journal of Biochemistry &amp; Cell Biology, 41</w:t>
      </w:r>
      <w:r w:rsidRPr="00B14CCC">
        <w:rPr>
          <w:rFonts w:ascii="Times New Roman" w:eastAsia="Times New Roman" w:hAnsi="Times New Roman" w:cs="Times New Roman"/>
          <w:sz w:val="24"/>
          <w:szCs w:val="24"/>
        </w:rPr>
        <w:t xml:space="preserve">(1), 40-59. </w:t>
      </w:r>
      <w:hyperlink r:id="rId8" w:history="1">
        <w:r w:rsidRPr="00B14CCC">
          <w:rPr>
            <w:rFonts w:ascii="Times New Roman" w:eastAsia="Times New Roman" w:hAnsi="Times New Roman" w:cs="Times New Roman"/>
            <w:color w:val="0000FF"/>
            <w:sz w:val="24"/>
            <w:szCs w:val="24"/>
            <w:u w:val="single"/>
          </w:rPr>
          <w:t>https://doi.org/10.1016/j.biocel.2008.06.010</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Akram, M., Tahir, I. M., Shah, S. M. A., Mahmood, Z., Altaf, A., Ahmad, K., Munir, N., Daniyal, M., Nasir, S., &amp; Mehboob, H. (2018). Antiviral potential of medicinal plants against HIV, HSV, influenza, hepatitis, and coxsackievirus: A systematic review. </w:t>
      </w:r>
      <w:r w:rsidRPr="00B14CCC">
        <w:rPr>
          <w:rFonts w:ascii="Times New Roman" w:eastAsia="Times New Roman" w:hAnsi="Times New Roman" w:cs="Times New Roman"/>
          <w:i/>
          <w:iCs/>
          <w:sz w:val="24"/>
          <w:szCs w:val="24"/>
        </w:rPr>
        <w:t>Phytotherapy Research, 32</w:t>
      </w:r>
      <w:r w:rsidRPr="00B14CCC">
        <w:rPr>
          <w:rFonts w:ascii="Times New Roman" w:eastAsia="Times New Roman" w:hAnsi="Times New Roman" w:cs="Times New Roman"/>
          <w:sz w:val="24"/>
          <w:szCs w:val="24"/>
        </w:rPr>
        <w:t xml:space="preserve">(5), 811-822. </w:t>
      </w:r>
      <w:hyperlink r:id="rId9" w:history="1">
        <w:r w:rsidRPr="00B14CCC">
          <w:rPr>
            <w:rFonts w:ascii="Times New Roman" w:eastAsia="Times New Roman" w:hAnsi="Times New Roman" w:cs="Times New Roman"/>
            <w:color w:val="0000FF"/>
            <w:sz w:val="24"/>
            <w:szCs w:val="24"/>
            <w:u w:val="single"/>
          </w:rPr>
          <w:t>https://doi.org/10.1002/ptr.6024</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Albuquerque, U. P., Soldati, G. T., Sieber, S. S., Ramos, M. A., de Sá, J. C., &amp; de Souza, L. C. (2014). The use of plants in the medical system of the Fulni-ô people (NE Brazil): A perspective on age and gender. </w:t>
      </w:r>
      <w:r w:rsidRPr="00B14CCC">
        <w:rPr>
          <w:rFonts w:ascii="Times New Roman" w:eastAsia="Times New Roman" w:hAnsi="Times New Roman" w:cs="Times New Roman"/>
          <w:i/>
          <w:iCs/>
          <w:sz w:val="24"/>
          <w:szCs w:val="24"/>
        </w:rPr>
        <w:t>Journal of Ethnopharmacology, 133</w:t>
      </w:r>
      <w:r w:rsidRPr="00B14CCC">
        <w:rPr>
          <w:rFonts w:ascii="Times New Roman" w:eastAsia="Times New Roman" w:hAnsi="Times New Roman" w:cs="Times New Roman"/>
          <w:sz w:val="24"/>
          <w:szCs w:val="24"/>
        </w:rPr>
        <w:t xml:space="preserve">(2), 866-873. </w:t>
      </w:r>
      <w:hyperlink r:id="rId10" w:history="1">
        <w:r w:rsidRPr="00B14CCC">
          <w:rPr>
            <w:rFonts w:ascii="Times New Roman" w:eastAsia="Times New Roman" w:hAnsi="Times New Roman" w:cs="Times New Roman"/>
            <w:color w:val="0000FF"/>
            <w:sz w:val="24"/>
            <w:szCs w:val="24"/>
            <w:u w:val="single"/>
          </w:rPr>
          <w:t>https://doi.org/10.1016/j.jep.2010.11.021</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Alves, R. R. N., &amp; Rosa, I. M. L. (2007). Biodiversity, traditional medicine and public health: Where do they meet? </w:t>
      </w:r>
      <w:r w:rsidRPr="00B14CCC">
        <w:rPr>
          <w:rFonts w:ascii="Times New Roman" w:eastAsia="Times New Roman" w:hAnsi="Times New Roman" w:cs="Times New Roman"/>
          <w:i/>
          <w:iCs/>
          <w:sz w:val="24"/>
          <w:szCs w:val="24"/>
        </w:rPr>
        <w:t>Journal of Ethnobiology and Ethnomedicine, 3</w:t>
      </w:r>
      <w:r w:rsidRPr="00B14CCC">
        <w:rPr>
          <w:rFonts w:ascii="Times New Roman" w:eastAsia="Times New Roman" w:hAnsi="Times New Roman" w:cs="Times New Roman"/>
          <w:sz w:val="24"/>
          <w:szCs w:val="24"/>
        </w:rPr>
        <w:t xml:space="preserve">(1), 14. </w:t>
      </w:r>
      <w:hyperlink r:id="rId11" w:history="1">
        <w:r w:rsidRPr="00B14CCC">
          <w:rPr>
            <w:rFonts w:ascii="Times New Roman" w:eastAsia="Times New Roman" w:hAnsi="Times New Roman" w:cs="Times New Roman"/>
            <w:color w:val="0000FF"/>
            <w:sz w:val="24"/>
            <w:szCs w:val="24"/>
            <w:u w:val="single"/>
          </w:rPr>
          <w:t>https://doi.org/10.1186/1746-4269-3-14</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Alzohairy, M. A. (2016). Therapeutics role of </w:t>
      </w:r>
      <w:r w:rsidRPr="00B14CCC">
        <w:rPr>
          <w:rFonts w:ascii="Times New Roman" w:eastAsia="Times New Roman" w:hAnsi="Times New Roman" w:cs="Times New Roman"/>
          <w:i/>
          <w:iCs/>
          <w:sz w:val="24"/>
          <w:szCs w:val="24"/>
        </w:rPr>
        <w:t>Azadirachta indica</w:t>
      </w:r>
      <w:r w:rsidRPr="00B14CCC">
        <w:rPr>
          <w:rFonts w:ascii="Times New Roman" w:eastAsia="Times New Roman" w:hAnsi="Times New Roman" w:cs="Times New Roman"/>
          <w:sz w:val="24"/>
          <w:szCs w:val="24"/>
        </w:rPr>
        <w:t xml:space="preserve"> (Neem) and their active constituents in diseases prevention and treatment. </w:t>
      </w:r>
      <w:r w:rsidRPr="00B14CCC">
        <w:rPr>
          <w:rFonts w:ascii="Times New Roman" w:eastAsia="Times New Roman" w:hAnsi="Times New Roman" w:cs="Times New Roman"/>
          <w:i/>
          <w:iCs/>
          <w:sz w:val="24"/>
          <w:szCs w:val="24"/>
        </w:rPr>
        <w:t>Evidence-Based Complementary and Alternative Medicine, 2016</w:t>
      </w:r>
      <w:r w:rsidRPr="00B14CCC">
        <w:rPr>
          <w:rFonts w:ascii="Times New Roman" w:eastAsia="Times New Roman" w:hAnsi="Times New Roman" w:cs="Times New Roman"/>
          <w:sz w:val="24"/>
          <w:szCs w:val="24"/>
        </w:rPr>
        <w:t xml:space="preserve">, 7382506. </w:t>
      </w:r>
      <w:hyperlink r:id="rId12" w:history="1">
        <w:r w:rsidRPr="00B14CCC">
          <w:rPr>
            <w:rFonts w:ascii="Times New Roman" w:eastAsia="Times New Roman" w:hAnsi="Times New Roman" w:cs="Times New Roman"/>
            <w:color w:val="0000FF"/>
            <w:sz w:val="24"/>
            <w:szCs w:val="24"/>
            <w:u w:val="single"/>
          </w:rPr>
          <w:t>https://doi.org/10.1155/2016/7382506</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Aniszewski, T. (2007). </w:t>
      </w:r>
      <w:r w:rsidRPr="00B14CCC">
        <w:rPr>
          <w:rFonts w:ascii="Times New Roman" w:eastAsia="Times New Roman" w:hAnsi="Times New Roman" w:cs="Times New Roman"/>
          <w:i/>
          <w:iCs/>
          <w:sz w:val="24"/>
          <w:szCs w:val="24"/>
        </w:rPr>
        <w:t>Alkaloids: Secrets of life</w:t>
      </w:r>
      <w:r w:rsidRPr="00B14CCC">
        <w:rPr>
          <w:rFonts w:ascii="Times New Roman" w:eastAsia="Times New Roman" w:hAnsi="Times New Roman" w:cs="Times New Roman"/>
          <w:sz w:val="24"/>
          <w:szCs w:val="24"/>
        </w:rPr>
        <w:t>. Elsevier.</w:t>
      </w:r>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Applequist, W. L., Brinckmann, J. A., Cunningham, A. B., Hart, R. E., Heinrich, M., Katerere, D. R., &amp; Van Andel, T. (2020). Scientists' warning on climate change and medicinal plants. </w:t>
      </w:r>
      <w:r w:rsidRPr="00B14CCC">
        <w:rPr>
          <w:rFonts w:ascii="Times New Roman" w:eastAsia="Times New Roman" w:hAnsi="Times New Roman" w:cs="Times New Roman"/>
          <w:i/>
          <w:iCs/>
          <w:sz w:val="24"/>
          <w:szCs w:val="24"/>
        </w:rPr>
        <w:t>Planta Medica, 86</w:t>
      </w:r>
      <w:r w:rsidRPr="00B14CCC">
        <w:rPr>
          <w:rFonts w:ascii="Times New Roman" w:eastAsia="Times New Roman" w:hAnsi="Times New Roman" w:cs="Times New Roman"/>
          <w:sz w:val="24"/>
          <w:szCs w:val="24"/>
        </w:rPr>
        <w:t xml:space="preserve">(11), 749-755. </w:t>
      </w:r>
      <w:hyperlink r:id="rId13" w:history="1">
        <w:r w:rsidRPr="00B14CCC">
          <w:rPr>
            <w:rFonts w:ascii="Times New Roman" w:eastAsia="Times New Roman" w:hAnsi="Times New Roman" w:cs="Times New Roman"/>
            <w:color w:val="0000FF"/>
            <w:sz w:val="24"/>
            <w:szCs w:val="24"/>
            <w:u w:val="single"/>
          </w:rPr>
          <w:t>https://doi.org/10.1055/a-1041-3406</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Atanasov, A. G., Waltenberger, B., Pferschy-Wenzig, E. M., Linder, T., Wawrosch, C., Uhrin, P., Temml, V., Wang, L., Schwaiger, S., Heiss, E. H., Rollinger, J. M., Schuster, D., Breuss, J. M., Bochkov, V., Mihovilovic, M. D., Kopp, B., Bauer, R., Dirsch, V. M., &amp; Stuppner, H. (2015). Discovery and resupply of pharmacologically active plant-derived natural products: A review. </w:t>
      </w:r>
      <w:r w:rsidRPr="00B14CCC">
        <w:rPr>
          <w:rFonts w:ascii="Times New Roman" w:eastAsia="Times New Roman" w:hAnsi="Times New Roman" w:cs="Times New Roman"/>
          <w:i/>
          <w:iCs/>
          <w:sz w:val="24"/>
          <w:szCs w:val="24"/>
        </w:rPr>
        <w:t>Biotechnology Advances, 33</w:t>
      </w:r>
      <w:r w:rsidRPr="00B14CCC">
        <w:rPr>
          <w:rFonts w:ascii="Times New Roman" w:eastAsia="Times New Roman" w:hAnsi="Times New Roman" w:cs="Times New Roman"/>
          <w:sz w:val="24"/>
          <w:szCs w:val="24"/>
        </w:rPr>
        <w:t xml:space="preserve">(8), 1582-1614. </w:t>
      </w:r>
      <w:hyperlink r:id="rId14" w:history="1">
        <w:r w:rsidRPr="00B14CCC">
          <w:rPr>
            <w:rFonts w:ascii="Times New Roman" w:eastAsia="Times New Roman" w:hAnsi="Times New Roman" w:cs="Times New Roman"/>
            <w:color w:val="0000FF"/>
            <w:sz w:val="24"/>
            <w:szCs w:val="24"/>
            <w:u w:val="single"/>
          </w:rPr>
          <w:t>https://doi.org/10.1016/j.biotechadv.2015.08.001</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Bagley, M. A. (2015). Digital DNA, access, and benefit-sharing. </w:t>
      </w:r>
      <w:r w:rsidRPr="00B14CCC">
        <w:rPr>
          <w:rFonts w:ascii="Times New Roman" w:eastAsia="Times New Roman" w:hAnsi="Times New Roman" w:cs="Times New Roman"/>
          <w:i/>
          <w:iCs/>
          <w:sz w:val="24"/>
          <w:szCs w:val="24"/>
        </w:rPr>
        <w:t>Science, 349</w:t>
      </w:r>
      <w:r w:rsidRPr="00B14CCC">
        <w:rPr>
          <w:rFonts w:ascii="Times New Roman" w:eastAsia="Times New Roman" w:hAnsi="Times New Roman" w:cs="Times New Roman"/>
          <w:sz w:val="24"/>
          <w:szCs w:val="24"/>
        </w:rPr>
        <w:t xml:space="preserve">(6254), 1310-1311. </w:t>
      </w:r>
      <w:hyperlink r:id="rId15" w:history="1">
        <w:r w:rsidRPr="00B14CCC">
          <w:rPr>
            <w:rFonts w:ascii="Times New Roman" w:eastAsia="Times New Roman" w:hAnsi="Times New Roman" w:cs="Times New Roman"/>
            <w:color w:val="0000FF"/>
            <w:sz w:val="24"/>
            <w:szCs w:val="24"/>
            <w:u w:val="single"/>
          </w:rPr>
          <w:t>https://doi.org/10.1126/science.aac9997</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Bannerman, R. H., Burton, J., &amp; Wen-Chieh, C. (Eds.). (2015). </w:t>
      </w:r>
      <w:r w:rsidRPr="00B14CCC">
        <w:rPr>
          <w:rFonts w:ascii="Times New Roman" w:eastAsia="Times New Roman" w:hAnsi="Times New Roman" w:cs="Times New Roman"/>
          <w:i/>
          <w:iCs/>
          <w:sz w:val="24"/>
          <w:szCs w:val="24"/>
        </w:rPr>
        <w:t>Traditional medicine and health care coverage</w:t>
      </w:r>
      <w:r w:rsidRPr="00B14CCC">
        <w:rPr>
          <w:rFonts w:ascii="Times New Roman" w:eastAsia="Times New Roman" w:hAnsi="Times New Roman" w:cs="Times New Roman"/>
          <w:sz w:val="24"/>
          <w:szCs w:val="24"/>
        </w:rPr>
        <w:t>. World Health Organization.</w:t>
      </w:r>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Barnes, J., Anderson, L. A., Gibbons, S., &amp; Phillipson, J. D. (2005). Echinacea species (</w:t>
      </w:r>
      <w:r w:rsidRPr="00B14CCC">
        <w:rPr>
          <w:rFonts w:ascii="Times New Roman" w:eastAsia="Times New Roman" w:hAnsi="Times New Roman" w:cs="Times New Roman"/>
          <w:i/>
          <w:iCs/>
          <w:sz w:val="24"/>
          <w:szCs w:val="24"/>
        </w:rPr>
        <w:t>Echinacea angustifolia</w:t>
      </w:r>
      <w:r w:rsidRPr="00B14CCC">
        <w:rPr>
          <w:rFonts w:ascii="Times New Roman" w:eastAsia="Times New Roman" w:hAnsi="Times New Roman" w:cs="Times New Roman"/>
          <w:sz w:val="24"/>
          <w:szCs w:val="24"/>
        </w:rPr>
        <w:t xml:space="preserve"> (DC.) </w:t>
      </w:r>
      <w:proofErr w:type="gramStart"/>
      <w:r w:rsidRPr="00B14CCC">
        <w:rPr>
          <w:rFonts w:ascii="Times New Roman" w:eastAsia="Times New Roman" w:hAnsi="Times New Roman" w:cs="Times New Roman"/>
          <w:sz w:val="24"/>
          <w:szCs w:val="24"/>
        </w:rPr>
        <w:t>Hell.,</w:t>
      </w:r>
      <w:proofErr w:type="gramEnd"/>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Echinacea pallida</w:t>
      </w:r>
      <w:r w:rsidRPr="00B14CCC">
        <w:rPr>
          <w:rFonts w:ascii="Times New Roman" w:eastAsia="Times New Roman" w:hAnsi="Times New Roman" w:cs="Times New Roman"/>
          <w:sz w:val="24"/>
          <w:szCs w:val="24"/>
        </w:rPr>
        <w:t xml:space="preserve"> (Nutt.) </w:t>
      </w:r>
      <w:proofErr w:type="gramStart"/>
      <w:r w:rsidRPr="00B14CCC">
        <w:rPr>
          <w:rFonts w:ascii="Times New Roman" w:eastAsia="Times New Roman" w:hAnsi="Times New Roman" w:cs="Times New Roman"/>
          <w:sz w:val="24"/>
          <w:szCs w:val="24"/>
        </w:rPr>
        <w:t>Nutt.,</w:t>
      </w:r>
      <w:proofErr w:type="gramEnd"/>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Echinacea purpurea</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sz w:val="24"/>
          <w:szCs w:val="24"/>
        </w:rPr>
        <w:lastRenderedPageBreak/>
        <w:t xml:space="preserve">(L.) Moench): A review of their chemistry, pharmacology and clinical properties. </w:t>
      </w:r>
      <w:r w:rsidRPr="00B14CCC">
        <w:rPr>
          <w:rFonts w:ascii="Times New Roman" w:eastAsia="Times New Roman" w:hAnsi="Times New Roman" w:cs="Times New Roman"/>
          <w:i/>
          <w:iCs/>
          <w:sz w:val="24"/>
          <w:szCs w:val="24"/>
        </w:rPr>
        <w:t>Journal of Pharmacy and Pharmacology, 57</w:t>
      </w:r>
      <w:r w:rsidRPr="00B14CCC">
        <w:rPr>
          <w:rFonts w:ascii="Times New Roman" w:eastAsia="Times New Roman" w:hAnsi="Times New Roman" w:cs="Times New Roman"/>
          <w:sz w:val="24"/>
          <w:szCs w:val="24"/>
        </w:rPr>
        <w:t xml:space="preserve">(8), 929-954. </w:t>
      </w:r>
      <w:hyperlink r:id="rId16" w:history="1">
        <w:r w:rsidRPr="00B14CCC">
          <w:rPr>
            <w:rFonts w:ascii="Times New Roman" w:eastAsia="Times New Roman" w:hAnsi="Times New Roman" w:cs="Times New Roman"/>
            <w:color w:val="0000FF"/>
            <w:sz w:val="24"/>
            <w:szCs w:val="24"/>
            <w:u w:val="single"/>
          </w:rPr>
          <w:t>https://doi.org/10.1211/0022357056127</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Bansal, A., Chhabra, V., Rawal, R. K., &amp; Sharma, S. (2015). Chemometrics: A new scenario in herbal drug standardization. </w:t>
      </w:r>
      <w:r w:rsidRPr="00B14CCC">
        <w:rPr>
          <w:rFonts w:ascii="Times New Roman" w:eastAsia="Times New Roman" w:hAnsi="Times New Roman" w:cs="Times New Roman"/>
          <w:i/>
          <w:iCs/>
          <w:sz w:val="24"/>
          <w:szCs w:val="24"/>
        </w:rPr>
        <w:t>Journal of Pharmaceutical Analysis, 4</w:t>
      </w:r>
      <w:r w:rsidRPr="00B14CCC">
        <w:rPr>
          <w:rFonts w:ascii="Times New Roman" w:eastAsia="Times New Roman" w:hAnsi="Times New Roman" w:cs="Times New Roman"/>
          <w:sz w:val="24"/>
          <w:szCs w:val="24"/>
        </w:rPr>
        <w:t xml:space="preserve">(4), 223-233. </w:t>
      </w:r>
      <w:hyperlink r:id="rId17" w:history="1">
        <w:r w:rsidRPr="00B14CCC">
          <w:rPr>
            <w:rFonts w:ascii="Times New Roman" w:eastAsia="Times New Roman" w:hAnsi="Times New Roman" w:cs="Times New Roman"/>
            <w:color w:val="0000FF"/>
            <w:sz w:val="24"/>
            <w:szCs w:val="24"/>
            <w:u w:val="single"/>
          </w:rPr>
          <w:t>https://doi.org/10.1016/j.jpha.2013.12.001</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Barrett, B. (2003). Medicinal properties of </w:t>
      </w:r>
      <w:r w:rsidRPr="00B14CCC">
        <w:rPr>
          <w:rFonts w:ascii="Times New Roman" w:eastAsia="Times New Roman" w:hAnsi="Times New Roman" w:cs="Times New Roman"/>
          <w:i/>
          <w:iCs/>
          <w:sz w:val="24"/>
          <w:szCs w:val="24"/>
        </w:rPr>
        <w:t>Echinacea</w:t>
      </w:r>
      <w:r w:rsidRPr="00B14CCC">
        <w:rPr>
          <w:rFonts w:ascii="Times New Roman" w:eastAsia="Times New Roman" w:hAnsi="Times New Roman" w:cs="Times New Roman"/>
          <w:sz w:val="24"/>
          <w:szCs w:val="24"/>
        </w:rPr>
        <w:t xml:space="preserve">: A critical review. </w:t>
      </w:r>
      <w:r w:rsidRPr="00B14CCC">
        <w:rPr>
          <w:rFonts w:ascii="Times New Roman" w:eastAsia="Times New Roman" w:hAnsi="Times New Roman" w:cs="Times New Roman"/>
          <w:i/>
          <w:iCs/>
          <w:sz w:val="24"/>
          <w:szCs w:val="24"/>
        </w:rPr>
        <w:t>Phytomedicine, 10</w:t>
      </w:r>
      <w:r w:rsidRPr="00B14CCC">
        <w:rPr>
          <w:rFonts w:ascii="Times New Roman" w:eastAsia="Times New Roman" w:hAnsi="Times New Roman" w:cs="Times New Roman"/>
          <w:sz w:val="24"/>
          <w:szCs w:val="24"/>
        </w:rPr>
        <w:t xml:space="preserve">(1), 66-86. </w:t>
      </w:r>
      <w:hyperlink r:id="rId18" w:history="1">
        <w:r w:rsidRPr="00B14CCC">
          <w:rPr>
            <w:rFonts w:ascii="Times New Roman" w:eastAsia="Times New Roman" w:hAnsi="Times New Roman" w:cs="Times New Roman"/>
            <w:color w:val="0000FF"/>
            <w:sz w:val="24"/>
            <w:szCs w:val="24"/>
            <w:u w:val="single"/>
          </w:rPr>
          <w:t>https://doi.org/10.1078/094471103321648692</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Bernal, P., Lemaire, S., Pinho, M. G., Mobashery, S., Hinds, J., &amp; Taylor, P. W. (2013). Insertion of epicatechin gallate into the cytoplasmic membrane of methicillin-resistant </w:t>
      </w:r>
      <w:r w:rsidRPr="00B14CCC">
        <w:rPr>
          <w:rFonts w:ascii="Times New Roman" w:eastAsia="Times New Roman" w:hAnsi="Times New Roman" w:cs="Times New Roman"/>
          <w:i/>
          <w:iCs/>
          <w:sz w:val="24"/>
          <w:szCs w:val="24"/>
        </w:rPr>
        <w:t>Staphylococcus aureus</w:t>
      </w:r>
      <w:r w:rsidRPr="00B14CCC">
        <w:rPr>
          <w:rFonts w:ascii="Times New Roman" w:eastAsia="Times New Roman" w:hAnsi="Times New Roman" w:cs="Times New Roman"/>
          <w:sz w:val="24"/>
          <w:szCs w:val="24"/>
        </w:rPr>
        <w:t xml:space="preserve"> disrupts penicillin-binding protein (PBP) 2a-mediated β-lactam resistance by delocalizing PBP2. </w:t>
      </w:r>
      <w:r w:rsidRPr="00B14CCC">
        <w:rPr>
          <w:rFonts w:ascii="Times New Roman" w:eastAsia="Times New Roman" w:hAnsi="Times New Roman" w:cs="Times New Roman"/>
          <w:i/>
          <w:iCs/>
          <w:sz w:val="24"/>
          <w:szCs w:val="24"/>
        </w:rPr>
        <w:t>Journal of Biological Chemistry, 285</w:t>
      </w:r>
      <w:r w:rsidRPr="00B14CCC">
        <w:rPr>
          <w:rFonts w:ascii="Times New Roman" w:eastAsia="Times New Roman" w:hAnsi="Times New Roman" w:cs="Times New Roman"/>
          <w:sz w:val="24"/>
          <w:szCs w:val="24"/>
        </w:rPr>
        <w:t xml:space="preserve">(31), 24055-24065. </w:t>
      </w:r>
      <w:hyperlink r:id="rId19" w:history="1">
        <w:r w:rsidRPr="00B14CCC">
          <w:rPr>
            <w:rFonts w:ascii="Times New Roman" w:eastAsia="Times New Roman" w:hAnsi="Times New Roman" w:cs="Times New Roman"/>
            <w:color w:val="0000FF"/>
            <w:sz w:val="24"/>
            <w:szCs w:val="24"/>
            <w:u w:val="single"/>
          </w:rPr>
          <w:t>https://doi.org/10.1074/jbc.M110.114793</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Bilia, A. R., Scalise, L., Bergonzi, M. C., &amp; Vincieri, F. F. (2002). Analysis of plant complex matrices by use of nuclear magnetic resonance spectroscopy: St. John's wort extract. </w:t>
      </w:r>
      <w:r w:rsidRPr="00B14CCC">
        <w:rPr>
          <w:rFonts w:ascii="Times New Roman" w:eastAsia="Times New Roman" w:hAnsi="Times New Roman" w:cs="Times New Roman"/>
          <w:i/>
          <w:iCs/>
          <w:sz w:val="24"/>
          <w:szCs w:val="24"/>
        </w:rPr>
        <w:t>Journal of Agricultural and Food Chemistry, 50</w:t>
      </w:r>
      <w:r w:rsidRPr="00B14CCC">
        <w:rPr>
          <w:rFonts w:ascii="Times New Roman" w:eastAsia="Times New Roman" w:hAnsi="Times New Roman" w:cs="Times New Roman"/>
          <w:sz w:val="24"/>
          <w:szCs w:val="24"/>
        </w:rPr>
        <w:t xml:space="preserve">(13), 3789-3794. </w:t>
      </w:r>
      <w:hyperlink r:id="rId20" w:history="1">
        <w:r w:rsidRPr="00B14CCC">
          <w:rPr>
            <w:rFonts w:ascii="Times New Roman" w:eastAsia="Times New Roman" w:hAnsi="Times New Roman" w:cs="Times New Roman"/>
            <w:color w:val="0000FF"/>
            <w:sz w:val="24"/>
            <w:szCs w:val="24"/>
            <w:u w:val="single"/>
          </w:rPr>
          <w:t>https://doi.org/10.1021/jf020063e</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Bishayee, A. (2009). Cancer prevention and treatment with resveratrol: From rodent studies to clinical trials. </w:t>
      </w:r>
      <w:r w:rsidRPr="00B14CCC">
        <w:rPr>
          <w:rFonts w:ascii="Times New Roman" w:eastAsia="Times New Roman" w:hAnsi="Times New Roman" w:cs="Times New Roman"/>
          <w:i/>
          <w:iCs/>
          <w:sz w:val="24"/>
          <w:szCs w:val="24"/>
        </w:rPr>
        <w:t>Cancer Prevention Research, 2</w:t>
      </w:r>
      <w:r w:rsidRPr="00B14CCC">
        <w:rPr>
          <w:rFonts w:ascii="Times New Roman" w:eastAsia="Times New Roman" w:hAnsi="Times New Roman" w:cs="Times New Roman"/>
          <w:sz w:val="24"/>
          <w:szCs w:val="24"/>
        </w:rPr>
        <w:t xml:space="preserve">(5), 409-418. </w:t>
      </w:r>
      <w:hyperlink r:id="rId21" w:history="1">
        <w:r w:rsidRPr="00B14CCC">
          <w:rPr>
            <w:rFonts w:ascii="Times New Roman" w:eastAsia="Times New Roman" w:hAnsi="Times New Roman" w:cs="Times New Roman"/>
            <w:color w:val="0000FF"/>
            <w:sz w:val="24"/>
            <w:szCs w:val="24"/>
            <w:u w:val="single"/>
          </w:rPr>
          <w:t>https://doi.org/10.1158/1940-6207.CAPR-08-0160</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Biswas, K., Chattopadhyay, I., Banerjee, R. K., &amp; Bandyopadhyay, U. (2002). Biological activities and medicinal properties of neem (</w:t>
      </w:r>
      <w:r w:rsidRPr="00B14CCC">
        <w:rPr>
          <w:rFonts w:ascii="Times New Roman" w:eastAsia="Times New Roman" w:hAnsi="Times New Roman" w:cs="Times New Roman"/>
          <w:i/>
          <w:iCs/>
          <w:sz w:val="24"/>
          <w:szCs w:val="24"/>
        </w:rPr>
        <w:t>Azadirachta indica</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Current Science, 82</w:t>
      </w:r>
      <w:r w:rsidRPr="00B14CCC">
        <w:rPr>
          <w:rFonts w:ascii="Times New Roman" w:eastAsia="Times New Roman" w:hAnsi="Times New Roman" w:cs="Times New Roman"/>
          <w:sz w:val="24"/>
          <w:szCs w:val="24"/>
        </w:rPr>
        <w:t>(11), 1336-1345.</w:t>
      </w:r>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Borse, S., Joshi, M., Saggam, A., Bhat, V., Walia, S., Marathe, A., Sagar, S., Chavan-Gautam, P., &amp; Girme, A. (2021). Ayurveda botanicals in COVID-19 management: An in silico multi-target approach. </w:t>
      </w:r>
      <w:r w:rsidRPr="00B14CCC">
        <w:rPr>
          <w:rFonts w:ascii="Times New Roman" w:eastAsia="Times New Roman" w:hAnsi="Times New Roman" w:cs="Times New Roman"/>
          <w:i/>
          <w:iCs/>
          <w:sz w:val="24"/>
          <w:szCs w:val="24"/>
        </w:rPr>
        <w:t>PLoS ONE, 16</w:t>
      </w:r>
      <w:r w:rsidRPr="00B14CCC">
        <w:rPr>
          <w:rFonts w:ascii="Times New Roman" w:eastAsia="Times New Roman" w:hAnsi="Times New Roman" w:cs="Times New Roman"/>
          <w:sz w:val="24"/>
          <w:szCs w:val="24"/>
        </w:rPr>
        <w:t xml:space="preserve">(6), e0248479. </w:t>
      </w:r>
      <w:hyperlink r:id="rId22" w:history="1">
        <w:r w:rsidRPr="00B14CCC">
          <w:rPr>
            <w:rFonts w:ascii="Times New Roman" w:eastAsia="Times New Roman" w:hAnsi="Times New Roman" w:cs="Times New Roman"/>
            <w:color w:val="0000FF"/>
            <w:sz w:val="24"/>
            <w:szCs w:val="24"/>
            <w:u w:val="single"/>
          </w:rPr>
          <w:t>https://doi.org/10.1371/journal.pone.0248479</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Brahmachari, G. (2004). Neem—</w:t>
      </w:r>
      <w:proofErr w:type="gramStart"/>
      <w:r w:rsidRPr="00B14CCC">
        <w:rPr>
          <w:rFonts w:ascii="Times New Roman" w:eastAsia="Times New Roman" w:hAnsi="Times New Roman" w:cs="Times New Roman"/>
          <w:sz w:val="24"/>
          <w:szCs w:val="24"/>
        </w:rPr>
        <w:t>An</w:t>
      </w:r>
      <w:proofErr w:type="gramEnd"/>
      <w:r w:rsidRPr="00B14CCC">
        <w:rPr>
          <w:rFonts w:ascii="Times New Roman" w:eastAsia="Times New Roman" w:hAnsi="Times New Roman" w:cs="Times New Roman"/>
          <w:sz w:val="24"/>
          <w:szCs w:val="24"/>
        </w:rPr>
        <w:t xml:space="preserve"> omnipotent plant: A retrospection. </w:t>
      </w:r>
      <w:r w:rsidRPr="00B14CCC">
        <w:rPr>
          <w:rFonts w:ascii="Times New Roman" w:eastAsia="Times New Roman" w:hAnsi="Times New Roman" w:cs="Times New Roman"/>
          <w:i/>
          <w:iCs/>
          <w:sz w:val="24"/>
          <w:szCs w:val="24"/>
        </w:rPr>
        <w:t>ChemBioChem, 5</w:t>
      </w:r>
      <w:r w:rsidRPr="00B14CCC">
        <w:rPr>
          <w:rFonts w:ascii="Times New Roman" w:eastAsia="Times New Roman" w:hAnsi="Times New Roman" w:cs="Times New Roman"/>
          <w:sz w:val="24"/>
          <w:szCs w:val="24"/>
        </w:rPr>
        <w:t xml:space="preserve">(4), 408-421. </w:t>
      </w:r>
      <w:hyperlink r:id="rId23" w:history="1">
        <w:r w:rsidRPr="00B14CCC">
          <w:rPr>
            <w:rFonts w:ascii="Times New Roman" w:eastAsia="Times New Roman" w:hAnsi="Times New Roman" w:cs="Times New Roman"/>
            <w:color w:val="0000FF"/>
            <w:sz w:val="24"/>
            <w:szCs w:val="24"/>
            <w:u w:val="single"/>
          </w:rPr>
          <w:t>https://doi.org/10.1002/cbic.200300749</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Chainani-Wu, N. (2003). Safety and anti-inflammatory activity of curcumin: A component of turmeric (</w:t>
      </w:r>
      <w:r w:rsidRPr="00B14CCC">
        <w:rPr>
          <w:rFonts w:ascii="Times New Roman" w:eastAsia="Times New Roman" w:hAnsi="Times New Roman" w:cs="Times New Roman"/>
          <w:i/>
          <w:iCs/>
          <w:sz w:val="24"/>
          <w:szCs w:val="24"/>
        </w:rPr>
        <w:t>Curcuma longa</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Journal of Alternative and Complementary Medicine, 9</w:t>
      </w:r>
      <w:r w:rsidRPr="00B14CCC">
        <w:rPr>
          <w:rFonts w:ascii="Times New Roman" w:eastAsia="Times New Roman" w:hAnsi="Times New Roman" w:cs="Times New Roman"/>
          <w:sz w:val="24"/>
          <w:szCs w:val="24"/>
        </w:rPr>
        <w:t xml:space="preserve">(1), 161-168. </w:t>
      </w:r>
      <w:hyperlink r:id="rId24" w:history="1">
        <w:r w:rsidRPr="00B14CCC">
          <w:rPr>
            <w:rFonts w:ascii="Times New Roman" w:eastAsia="Times New Roman" w:hAnsi="Times New Roman" w:cs="Times New Roman"/>
            <w:color w:val="0000FF"/>
            <w:sz w:val="24"/>
            <w:szCs w:val="24"/>
            <w:u w:val="single"/>
          </w:rPr>
          <w:t>https://doi.org/10.1089/107555303321223035</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Chouhan, D., Dey, N., Bhardwaj, N., &amp; Mondal, B. (2017). Emerging and re-emerging clinically important yeast infections. </w:t>
      </w:r>
      <w:r w:rsidRPr="00B14CCC">
        <w:rPr>
          <w:rFonts w:ascii="Times New Roman" w:eastAsia="Times New Roman" w:hAnsi="Times New Roman" w:cs="Times New Roman"/>
          <w:i/>
          <w:iCs/>
          <w:sz w:val="24"/>
          <w:szCs w:val="24"/>
        </w:rPr>
        <w:t>Microbiology Research, 8</w:t>
      </w:r>
      <w:r w:rsidRPr="00B14CCC">
        <w:rPr>
          <w:rFonts w:ascii="Times New Roman" w:eastAsia="Times New Roman" w:hAnsi="Times New Roman" w:cs="Times New Roman"/>
          <w:sz w:val="24"/>
          <w:szCs w:val="24"/>
        </w:rPr>
        <w:t xml:space="preserve">(1), 7272. </w:t>
      </w:r>
      <w:hyperlink r:id="rId25" w:history="1">
        <w:r w:rsidRPr="00B14CCC">
          <w:rPr>
            <w:rFonts w:ascii="Times New Roman" w:eastAsia="Times New Roman" w:hAnsi="Times New Roman" w:cs="Times New Roman"/>
            <w:color w:val="0000FF"/>
            <w:sz w:val="24"/>
            <w:szCs w:val="24"/>
            <w:u w:val="single"/>
          </w:rPr>
          <w:t>https://doi.org/10.4081/mr.2017.7272</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Cordell, G. A., &amp; Colvard, M. D. (2005). Some thoughts on the future of ethnopharmacology. </w:t>
      </w:r>
      <w:r w:rsidRPr="00B14CCC">
        <w:rPr>
          <w:rFonts w:ascii="Times New Roman" w:eastAsia="Times New Roman" w:hAnsi="Times New Roman" w:cs="Times New Roman"/>
          <w:i/>
          <w:iCs/>
          <w:sz w:val="24"/>
          <w:szCs w:val="24"/>
        </w:rPr>
        <w:t>Journal of Ethnopharmacology, 100</w:t>
      </w:r>
      <w:r w:rsidRPr="00B14CCC">
        <w:rPr>
          <w:rFonts w:ascii="Times New Roman" w:eastAsia="Times New Roman" w:hAnsi="Times New Roman" w:cs="Times New Roman"/>
          <w:sz w:val="24"/>
          <w:szCs w:val="24"/>
        </w:rPr>
        <w:t xml:space="preserve">(1-2), 5-14. </w:t>
      </w:r>
      <w:hyperlink r:id="rId26" w:history="1">
        <w:r w:rsidRPr="00B14CCC">
          <w:rPr>
            <w:rFonts w:ascii="Times New Roman" w:eastAsia="Times New Roman" w:hAnsi="Times New Roman" w:cs="Times New Roman"/>
            <w:color w:val="0000FF"/>
            <w:sz w:val="24"/>
            <w:szCs w:val="24"/>
            <w:u w:val="single"/>
          </w:rPr>
          <w:t>https://doi.org/10.1016/j.jep.2005.05.027</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Cowan, M. M. (1999). Plant products as antimicrobial agents. </w:t>
      </w:r>
      <w:r w:rsidRPr="00B14CCC">
        <w:rPr>
          <w:rFonts w:ascii="Times New Roman" w:eastAsia="Times New Roman" w:hAnsi="Times New Roman" w:cs="Times New Roman"/>
          <w:i/>
          <w:iCs/>
          <w:sz w:val="24"/>
          <w:szCs w:val="24"/>
        </w:rPr>
        <w:t>Clinical Microbiology Reviews, 12</w:t>
      </w:r>
      <w:r w:rsidRPr="00B14CCC">
        <w:rPr>
          <w:rFonts w:ascii="Times New Roman" w:eastAsia="Times New Roman" w:hAnsi="Times New Roman" w:cs="Times New Roman"/>
          <w:sz w:val="24"/>
          <w:szCs w:val="24"/>
        </w:rPr>
        <w:t xml:space="preserve">(4), 564-582. </w:t>
      </w:r>
      <w:hyperlink r:id="rId27" w:history="1">
        <w:r w:rsidRPr="00B14CCC">
          <w:rPr>
            <w:rFonts w:ascii="Times New Roman" w:eastAsia="Times New Roman" w:hAnsi="Times New Roman" w:cs="Times New Roman"/>
            <w:color w:val="0000FF"/>
            <w:sz w:val="24"/>
            <w:szCs w:val="24"/>
            <w:u w:val="single"/>
          </w:rPr>
          <w:t>https://doi.org/10.1128/CMR.12.4.564</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Cragg, G. M., &amp; Pezzuto, J. M. (2016). Natural products as a vital source for the discovery of cancer chemotherapeutic and chemopreventive agents. </w:t>
      </w:r>
      <w:r w:rsidRPr="00B14CCC">
        <w:rPr>
          <w:rFonts w:ascii="Times New Roman" w:eastAsia="Times New Roman" w:hAnsi="Times New Roman" w:cs="Times New Roman"/>
          <w:i/>
          <w:iCs/>
          <w:sz w:val="24"/>
          <w:szCs w:val="24"/>
        </w:rPr>
        <w:t>Medical Principles and Practice, 25</w:t>
      </w:r>
      <w:r w:rsidRPr="00B14CCC">
        <w:rPr>
          <w:rFonts w:ascii="Times New Roman" w:eastAsia="Times New Roman" w:hAnsi="Times New Roman" w:cs="Times New Roman"/>
          <w:sz w:val="24"/>
          <w:szCs w:val="24"/>
        </w:rPr>
        <w:t xml:space="preserve">(Suppl. 2), 41-59. </w:t>
      </w:r>
      <w:hyperlink r:id="rId28" w:history="1">
        <w:r w:rsidRPr="00B14CCC">
          <w:rPr>
            <w:rFonts w:ascii="Times New Roman" w:eastAsia="Times New Roman" w:hAnsi="Times New Roman" w:cs="Times New Roman"/>
            <w:color w:val="0000FF"/>
            <w:sz w:val="24"/>
            <w:szCs w:val="24"/>
            <w:u w:val="single"/>
          </w:rPr>
          <w:t>https://doi.org/10.1159/000443404</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 xml:space="preserve">Cushnie, T. P. T., &amp; Lamb, A. J. (2011). Recent advances in understanding the antibacterial properties of flavonoids. </w:t>
      </w:r>
      <w:r w:rsidRPr="00B14CCC">
        <w:rPr>
          <w:rFonts w:ascii="Times New Roman" w:eastAsia="Times New Roman" w:hAnsi="Times New Roman" w:cs="Times New Roman"/>
          <w:i/>
          <w:iCs/>
          <w:sz w:val="24"/>
          <w:szCs w:val="24"/>
        </w:rPr>
        <w:t>International Journal of Antimicrobial Agents, 38</w:t>
      </w:r>
      <w:r w:rsidRPr="00B14CCC">
        <w:rPr>
          <w:rFonts w:ascii="Times New Roman" w:eastAsia="Times New Roman" w:hAnsi="Times New Roman" w:cs="Times New Roman"/>
          <w:sz w:val="24"/>
          <w:szCs w:val="24"/>
        </w:rPr>
        <w:t xml:space="preserve">(2), 99-107. </w:t>
      </w:r>
      <w:hyperlink r:id="rId29" w:history="1">
        <w:r w:rsidRPr="00B14CCC">
          <w:rPr>
            <w:rFonts w:ascii="Times New Roman" w:eastAsia="Times New Roman" w:hAnsi="Times New Roman" w:cs="Times New Roman"/>
            <w:color w:val="0000FF"/>
            <w:sz w:val="24"/>
            <w:szCs w:val="24"/>
            <w:u w:val="single"/>
          </w:rPr>
          <w:t>https://doi.org/10.1016/j.ijantimicag.2011.02.014</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Dai, J., &amp; Mumper, R. J. (2010). Plant phenolics: Extraction, analysis and their antioxidant and anticancer properties. </w:t>
      </w:r>
      <w:r w:rsidRPr="00B14CCC">
        <w:rPr>
          <w:rFonts w:ascii="Times New Roman" w:eastAsia="Times New Roman" w:hAnsi="Times New Roman" w:cs="Times New Roman"/>
          <w:i/>
          <w:iCs/>
          <w:sz w:val="24"/>
          <w:szCs w:val="24"/>
        </w:rPr>
        <w:t>Molecules, 15</w:t>
      </w:r>
      <w:r w:rsidRPr="00B14CCC">
        <w:rPr>
          <w:rFonts w:ascii="Times New Roman" w:eastAsia="Times New Roman" w:hAnsi="Times New Roman" w:cs="Times New Roman"/>
          <w:sz w:val="24"/>
          <w:szCs w:val="24"/>
        </w:rPr>
        <w:t xml:space="preserve">(10), 7313-7352. </w:t>
      </w:r>
      <w:hyperlink r:id="rId30" w:history="1">
        <w:r w:rsidRPr="00B14CCC">
          <w:rPr>
            <w:rFonts w:ascii="Times New Roman" w:eastAsia="Times New Roman" w:hAnsi="Times New Roman" w:cs="Times New Roman"/>
            <w:color w:val="0000FF"/>
            <w:sz w:val="24"/>
            <w:szCs w:val="24"/>
            <w:u w:val="single"/>
          </w:rPr>
          <w:t>https://doi.org/10.3390/molecules15107313</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Desai, A. G., Qazi, G. N., Ganju, R. K., El-Tamer, M., Singh, J., Saxena, A. K., Bedi, Y. S., Taneja, S. C., &amp; Bhat, H. K. (2008). Medicinal plants and cancer chemoprevention. </w:t>
      </w:r>
      <w:r w:rsidRPr="00B14CCC">
        <w:rPr>
          <w:rFonts w:ascii="Times New Roman" w:eastAsia="Times New Roman" w:hAnsi="Times New Roman" w:cs="Times New Roman"/>
          <w:i/>
          <w:iCs/>
          <w:sz w:val="24"/>
          <w:szCs w:val="24"/>
        </w:rPr>
        <w:t>Current Drug Metabolism, 9</w:t>
      </w:r>
      <w:r w:rsidRPr="00B14CCC">
        <w:rPr>
          <w:rFonts w:ascii="Times New Roman" w:eastAsia="Times New Roman" w:hAnsi="Times New Roman" w:cs="Times New Roman"/>
          <w:sz w:val="24"/>
          <w:szCs w:val="24"/>
        </w:rPr>
        <w:t xml:space="preserve">(7), 581-591. </w:t>
      </w:r>
      <w:hyperlink r:id="rId31" w:history="1">
        <w:r w:rsidRPr="00B14CCC">
          <w:rPr>
            <w:rFonts w:ascii="Times New Roman" w:eastAsia="Times New Roman" w:hAnsi="Times New Roman" w:cs="Times New Roman"/>
            <w:color w:val="0000FF"/>
            <w:sz w:val="24"/>
            <w:szCs w:val="24"/>
            <w:u w:val="single"/>
          </w:rPr>
          <w:t>https://doi.org/10.2174/138920008785821657</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Ekor, M. (2014). The growing use of herbal medicines: Issues relating to adverse reactions and challenges in monitoring safety. </w:t>
      </w:r>
      <w:r w:rsidRPr="00B14CCC">
        <w:rPr>
          <w:rFonts w:ascii="Times New Roman" w:eastAsia="Times New Roman" w:hAnsi="Times New Roman" w:cs="Times New Roman"/>
          <w:i/>
          <w:iCs/>
          <w:sz w:val="24"/>
          <w:szCs w:val="24"/>
        </w:rPr>
        <w:t>Frontiers in Pharmacology, 4</w:t>
      </w:r>
      <w:r w:rsidRPr="00B14CCC">
        <w:rPr>
          <w:rFonts w:ascii="Times New Roman" w:eastAsia="Times New Roman" w:hAnsi="Times New Roman" w:cs="Times New Roman"/>
          <w:sz w:val="24"/>
          <w:szCs w:val="24"/>
        </w:rPr>
        <w:t xml:space="preserve">, 177. </w:t>
      </w:r>
      <w:hyperlink r:id="rId32" w:history="1">
        <w:r w:rsidRPr="00B14CCC">
          <w:rPr>
            <w:rFonts w:ascii="Times New Roman" w:eastAsia="Times New Roman" w:hAnsi="Times New Roman" w:cs="Times New Roman"/>
            <w:color w:val="0000FF"/>
            <w:sz w:val="24"/>
            <w:szCs w:val="24"/>
            <w:u w:val="single"/>
          </w:rPr>
          <w:t>https://doi.org/10.3389/fphar.2013.00177</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Ernst, E. (2002). Heavy metals in traditional Indian remedies. </w:t>
      </w:r>
      <w:r w:rsidRPr="00B14CCC">
        <w:rPr>
          <w:rFonts w:ascii="Times New Roman" w:eastAsia="Times New Roman" w:hAnsi="Times New Roman" w:cs="Times New Roman"/>
          <w:i/>
          <w:iCs/>
          <w:sz w:val="24"/>
          <w:szCs w:val="24"/>
        </w:rPr>
        <w:t>European Journal of Clinical Pharmacology, 57</w:t>
      </w:r>
      <w:r w:rsidRPr="00B14CCC">
        <w:rPr>
          <w:rFonts w:ascii="Times New Roman" w:eastAsia="Times New Roman" w:hAnsi="Times New Roman" w:cs="Times New Roman"/>
          <w:sz w:val="24"/>
          <w:szCs w:val="24"/>
        </w:rPr>
        <w:t xml:space="preserve">(12), 891-896. </w:t>
      </w:r>
      <w:hyperlink r:id="rId33" w:history="1">
        <w:r w:rsidRPr="00B14CCC">
          <w:rPr>
            <w:rFonts w:ascii="Times New Roman" w:eastAsia="Times New Roman" w:hAnsi="Times New Roman" w:cs="Times New Roman"/>
            <w:color w:val="0000FF"/>
            <w:sz w:val="24"/>
            <w:szCs w:val="24"/>
            <w:u w:val="single"/>
          </w:rPr>
          <w:t>https://doi.org/10.1007/s00228-001-0400-y</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Ferreira, J. F. S., &amp; Janick, J. (2009). Floral morphology of </w:t>
      </w:r>
      <w:r w:rsidRPr="00B14CCC">
        <w:rPr>
          <w:rFonts w:ascii="Times New Roman" w:eastAsia="Times New Roman" w:hAnsi="Times New Roman" w:cs="Times New Roman"/>
          <w:i/>
          <w:iCs/>
          <w:sz w:val="24"/>
          <w:szCs w:val="24"/>
        </w:rPr>
        <w:t>Artemisia annua</w:t>
      </w:r>
      <w:r w:rsidRPr="00B14CCC">
        <w:rPr>
          <w:rFonts w:ascii="Times New Roman" w:eastAsia="Times New Roman" w:hAnsi="Times New Roman" w:cs="Times New Roman"/>
          <w:sz w:val="24"/>
          <w:szCs w:val="24"/>
        </w:rPr>
        <w:t xml:space="preserve"> with special reference to trichomes. </w:t>
      </w:r>
      <w:r w:rsidRPr="00B14CCC">
        <w:rPr>
          <w:rFonts w:ascii="Times New Roman" w:eastAsia="Times New Roman" w:hAnsi="Times New Roman" w:cs="Times New Roman"/>
          <w:i/>
          <w:iCs/>
          <w:sz w:val="24"/>
          <w:szCs w:val="24"/>
        </w:rPr>
        <w:t>International Journal of Plant Sciences, 170</w:t>
      </w:r>
      <w:r w:rsidRPr="00B14CCC">
        <w:rPr>
          <w:rFonts w:ascii="Times New Roman" w:eastAsia="Times New Roman" w:hAnsi="Times New Roman" w:cs="Times New Roman"/>
          <w:sz w:val="24"/>
          <w:szCs w:val="24"/>
        </w:rPr>
        <w:t xml:space="preserve">(7), 906-919. </w:t>
      </w:r>
      <w:hyperlink r:id="rId34" w:history="1">
        <w:r w:rsidRPr="00B14CCC">
          <w:rPr>
            <w:rFonts w:ascii="Times New Roman" w:eastAsia="Times New Roman" w:hAnsi="Times New Roman" w:cs="Times New Roman"/>
            <w:color w:val="0000FF"/>
            <w:sz w:val="24"/>
            <w:szCs w:val="24"/>
            <w:u w:val="single"/>
          </w:rPr>
          <w:t>https://doi.org/10.1086/600136</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Ferreira, J. F. S., Luthria, D. L., Sasaki, T., &amp; Heyerick, A. (2010). Flavonoids from </w:t>
      </w:r>
      <w:r w:rsidRPr="00B14CCC">
        <w:rPr>
          <w:rFonts w:ascii="Times New Roman" w:eastAsia="Times New Roman" w:hAnsi="Times New Roman" w:cs="Times New Roman"/>
          <w:i/>
          <w:iCs/>
          <w:sz w:val="24"/>
          <w:szCs w:val="24"/>
        </w:rPr>
        <w:t>Artemisia annua</w:t>
      </w:r>
      <w:r w:rsidRPr="00B14CCC">
        <w:rPr>
          <w:rFonts w:ascii="Times New Roman" w:eastAsia="Times New Roman" w:hAnsi="Times New Roman" w:cs="Times New Roman"/>
          <w:sz w:val="24"/>
          <w:szCs w:val="24"/>
        </w:rPr>
        <w:t xml:space="preserve"> L. as antioxidants and their potential synergism with artemisinin against malaria and cancer. </w:t>
      </w:r>
      <w:r w:rsidRPr="00B14CCC">
        <w:rPr>
          <w:rFonts w:ascii="Times New Roman" w:eastAsia="Times New Roman" w:hAnsi="Times New Roman" w:cs="Times New Roman"/>
          <w:i/>
          <w:iCs/>
          <w:sz w:val="24"/>
          <w:szCs w:val="24"/>
        </w:rPr>
        <w:t>Molecules, 15</w:t>
      </w:r>
      <w:r w:rsidRPr="00B14CCC">
        <w:rPr>
          <w:rFonts w:ascii="Times New Roman" w:eastAsia="Times New Roman" w:hAnsi="Times New Roman" w:cs="Times New Roman"/>
          <w:sz w:val="24"/>
          <w:szCs w:val="24"/>
        </w:rPr>
        <w:t xml:space="preserve">(5), 3135-3170. </w:t>
      </w:r>
      <w:hyperlink r:id="rId35" w:history="1">
        <w:r w:rsidRPr="00B14CCC">
          <w:rPr>
            <w:rFonts w:ascii="Times New Roman" w:eastAsia="Times New Roman" w:hAnsi="Times New Roman" w:cs="Times New Roman"/>
            <w:color w:val="0000FF"/>
            <w:sz w:val="24"/>
            <w:szCs w:val="24"/>
            <w:u w:val="single"/>
          </w:rPr>
          <w:t>https://doi.org/10.3390/molecules15053135</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Fønnebø, V., Grimsgaard, S., Walach, H., Ritenbaugh, C., Norheim, A. J., MacPherson, H., Lewith, G., Launsø, L., Koithan, M., Falkenberg, T., Boon, H., &amp; Aickin, M. (2007). Researching complementary and alternative treatments—the gatekeepers are not at home. </w:t>
      </w:r>
      <w:r w:rsidRPr="00B14CCC">
        <w:rPr>
          <w:rFonts w:ascii="Times New Roman" w:eastAsia="Times New Roman" w:hAnsi="Times New Roman" w:cs="Times New Roman"/>
          <w:i/>
          <w:iCs/>
          <w:sz w:val="24"/>
          <w:szCs w:val="24"/>
        </w:rPr>
        <w:t>BMC Medical Research Methodology, 7</w:t>
      </w:r>
      <w:r w:rsidRPr="00B14CCC">
        <w:rPr>
          <w:rFonts w:ascii="Times New Roman" w:eastAsia="Times New Roman" w:hAnsi="Times New Roman" w:cs="Times New Roman"/>
          <w:sz w:val="24"/>
          <w:szCs w:val="24"/>
        </w:rPr>
        <w:t xml:space="preserve">, 7. </w:t>
      </w:r>
      <w:hyperlink r:id="rId36" w:history="1">
        <w:r w:rsidRPr="00B14CCC">
          <w:rPr>
            <w:rFonts w:ascii="Times New Roman" w:eastAsia="Times New Roman" w:hAnsi="Times New Roman" w:cs="Times New Roman"/>
            <w:color w:val="0000FF"/>
            <w:sz w:val="24"/>
            <w:szCs w:val="24"/>
            <w:u w:val="single"/>
          </w:rPr>
          <w:t>https://doi.org/10.1186/1471-2288-7-7</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Ganie, S. H., Upadhyay, P., Das, S., &amp; Sharma, M. P. (2015). Authentication of medicinal plants by DNA markers. </w:t>
      </w:r>
      <w:r w:rsidRPr="00B14CCC">
        <w:rPr>
          <w:rFonts w:ascii="Times New Roman" w:eastAsia="Times New Roman" w:hAnsi="Times New Roman" w:cs="Times New Roman"/>
          <w:i/>
          <w:iCs/>
          <w:sz w:val="24"/>
          <w:szCs w:val="24"/>
        </w:rPr>
        <w:t>Plant Gene, 4</w:t>
      </w:r>
      <w:r w:rsidRPr="00B14CCC">
        <w:rPr>
          <w:rFonts w:ascii="Times New Roman" w:eastAsia="Times New Roman" w:hAnsi="Times New Roman" w:cs="Times New Roman"/>
          <w:sz w:val="24"/>
          <w:szCs w:val="24"/>
        </w:rPr>
        <w:t xml:space="preserve">, 83-99. </w:t>
      </w:r>
      <w:hyperlink r:id="rId37" w:history="1">
        <w:r w:rsidRPr="00B14CCC">
          <w:rPr>
            <w:rFonts w:ascii="Times New Roman" w:eastAsia="Times New Roman" w:hAnsi="Times New Roman" w:cs="Times New Roman"/>
            <w:color w:val="0000FF"/>
            <w:sz w:val="24"/>
            <w:szCs w:val="24"/>
            <w:u w:val="single"/>
          </w:rPr>
          <w:t>https://doi.org/10.1016/j.plgene.2015.10.002</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Gautam, R., Saklani, A., &amp; Jachak, S. M. (2014). Indian medicinal plants as a source of antimycobacterial agents. </w:t>
      </w:r>
      <w:r w:rsidRPr="00B14CCC">
        <w:rPr>
          <w:rFonts w:ascii="Times New Roman" w:eastAsia="Times New Roman" w:hAnsi="Times New Roman" w:cs="Times New Roman"/>
          <w:i/>
          <w:iCs/>
          <w:sz w:val="24"/>
          <w:szCs w:val="24"/>
        </w:rPr>
        <w:t>Journal of Ethnopharmacology, 110</w:t>
      </w:r>
      <w:r w:rsidRPr="00B14CCC">
        <w:rPr>
          <w:rFonts w:ascii="Times New Roman" w:eastAsia="Times New Roman" w:hAnsi="Times New Roman" w:cs="Times New Roman"/>
          <w:sz w:val="24"/>
          <w:szCs w:val="24"/>
        </w:rPr>
        <w:t xml:space="preserve">(2), 200-234. </w:t>
      </w:r>
      <w:hyperlink r:id="rId38" w:history="1">
        <w:r w:rsidRPr="00B14CCC">
          <w:rPr>
            <w:rFonts w:ascii="Times New Roman" w:eastAsia="Times New Roman" w:hAnsi="Times New Roman" w:cs="Times New Roman"/>
            <w:color w:val="0000FF"/>
            <w:sz w:val="24"/>
            <w:szCs w:val="24"/>
            <w:u w:val="single"/>
          </w:rPr>
          <w:t>https://doi.org/10.1016/j.jep.2006.12.031</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Gilroy, C. M., Steiner, J. F., Byers, T., Shapiro, H., &amp; Georgian, W. (2003). Echinacea and truth in labeling. </w:t>
      </w:r>
      <w:r w:rsidRPr="00B14CCC">
        <w:rPr>
          <w:rFonts w:ascii="Times New Roman" w:eastAsia="Times New Roman" w:hAnsi="Times New Roman" w:cs="Times New Roman"/>
          <w:i/>
          <w:iCs/>
          <w:sz w:val="24"/>
          <w:szCs w:val="24"/>
        </w:rPr>
        <w:t>Archives of Internal Medicine, 163</w:t>
      </w:r>
      <w:r w:rsidRPr="00B14CCC">
        <w:rPr>
          <w:rFonts w:ascii="Times New Roman" w:eastAsia="Times New Roman" w:hAnsi="Times New Roman" w:cs="Times New Roman"/>
          <w:sz w:val="24"/>
          <w:szCs w:val="24"/>
        </w:rPr>
        <w:t xml:space="preserve">(6), 699-704. </w:t>
      </w:r>
      <w:hyperlink r:id="rId39" w:history="1">
        <w:r w:rsidRPr="00B14CCC">
          <w:rPr>
            <w:rFonts w:ascii="Times New Roman" w:eastAsia="Times New Roman" w:hAnsi="Times New Roman" w:cs="Times New Roman"/>
            <w:color w:val="0000FF"/>
            <w:sz w:val="24"/>
            <w:szCs w:val="24"/>
            <w:u w:val="single"/>
          </w:rPr>
          <w:t>https://doi.org/10.1001/archinte.163.6.699</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Heinrich, M., Mah, J., &amp; Amirkia, V. (2020). Alkaloids used as medicines: Structural phytochemistry meets biodiversity—</w:t>
      </w:r>
      <w:proofErr w:type="gramStart"/>
      <w:r w:rsidRPr="00B14CCC">
        <w:rPr>
          <w:rFonts w:ascii="Times New Roman" w:eastAsia="Times New Roman" w:hAnsi="Times New Roman" w:cs="Times New Roman"/>
          <w:sz w:val="24"/>
          <w:szCs w:val="24"/>
        </w:rPr>
        <w:t>An</w:t>
      </w:r>
      <w:proofErr w:type="gramEnd"/>
      <w:r w:rsidRPr="00B14CCC">
        <w:rPr>
          <w:rFonts w:ascii="Times New Roman" w:eastAsia="Times New Roman" w:hAnsi="Times New Roman" w:cs="Times New Roman"/>
          <w:sz w:val="24"/>
          <w:szCs w:val="24"/>
        </w:rPr>
        <w:t xml:space="preserve"> update and forward look. </w:t>
      </w:r>
      <w:r w:rsidRPr="00B14CCC">
        <w:rPr>
          <w:rFonts w:ascii="Times New Roman" w:eastAsia="Times New Roman" w:hAnsi="Times New Roman" w:cs="Times New Roman"/>
          <w:i/>
          <w:iCs/>
          <w:sz w:val="24"/>
          <w:szCs w:val="24"/>
        </w:rPr>
        <w:t>Molecules, 26</w:t>
      </w:r>
      <w:r w:rsidRPr="00B14CCC">
        <w:rPr>
          <w:rFonts w:ascii="Times New Roman" w:eastAsia="Times New Roman" w:hAnsi="Times New Roman" w:cs="Times New Roman"/>
          <w:sz w:val="24"/>
          <w:szCs w:val="24"/>
        </w:rPr>
        <w:t xml:space="preserve">(7), 1836. </w:t>
      </w:r>
      <w:hyperlink r:id="rId40" w:history="1">
        <w:r w:rsidRPr="00B14CCC">
          <w:rPr>
            <w:rFonts w:ascii="Times New Roman" w:eastAsia="Times New Roman" w:hAnsi="Times New Roman" w:cs="Times New Roman"/>
            <w:color w:val="0000FF"/>
            <w:sz w:val="24"/>
            <w:szCs w:val="24"/>
            <w:u w:val="single"/>
          </w:rPr>
          <w:t>https://doi.org/10.3390/molecules26071836</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Hewlings, S. J., &amp; Kalman, D. S. (2017). Curcumin: A review of </w:t>
      </w:r>
      <w:proofErr w:type="gramStart"/>
      <w:r w:rsidRPr="00B14CCC">
        <w:rPr>
          <w:rFonts w:ascii="Times New Roman" w:eastAsia="Times New Roman" w:hAnsi="Times New Roman" w:cs="Times New Roman"/>
          <w:sz w:val="24"/>
          <w:szCs w:val="24"/>
        </w:rPr>
        <w:t>its</w:t>
      </w:r>
      <w:proofErr w:type="gramEnd"/>
      <w:r w:rsidRPr="00B14CCC">
        <w:rPr>
          <w:rFonts w:ascii="Times New Roman" w:eastAsia="Times New Roman" w:hAnsi="Times New Roman" w:cs="Times New Roman"/>
          <w:sz w:val="24"/>
          <w:szCs w:val="24"/>
        </w:rPr>
        <w:t xml:space="preserve">' effects on human health. </w:t>
      </w:r>
      <w:r w:rsidRPr="00B14CCC">
        <w:rPr>
          <w:rFonts w:ascii="Times New Roman" w:eastAsia="Times New Roman" w:hAnsi="Times New Roman" w:cs="Times New Roman"/>
          <w:i/>
          <w:iCs/>
          <w:sz w:val="24"/>
          <w:szCs w:val="24"/>
        </w:rPr>
        <w:t>Foods, 6</w:t>
      </w:r>
      <w:r w:rsidRPr="00B14CCC">
        <w:rPr>
          <w:rFonts w:ascii="Times New Roman" w:eastAsia="Times New Roman" w:hAnsi="Times New Roman" w:cs="Times New Roman"/>
          <w:sz w:val="24"/>
          <w:szCs w:val="24"/>
        </w:rPr>
        <w:t xml:space="preserve">(10), 92. </w:t>
      </w:r>
      <w:hyperlink r:id="rId41" w:history="1">
        <w:r w:rsidRPr="00B14CCC">
          <w:rPr>
            <w:rFonts w:ascii="Times New Roman" w:eastAsia="Times New Roman" w:hAnsi="Times New Roman" w:cs="Times New Roman"/>
            <w:color w:val="0000FF"/>
            <w:sz w:val="24"/>
            <w:szCs w:val="24"/>
            <w:u w:val="single"/>
          </w:rPr>
          <w:t>https://doi.org/10.3390/foods6100092</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Izzo, A. A., &amp; Ernst, E. (2009). Interactions between herbal medicines and prescribed drugs: An updated systematic review. </w:t>
      </w:r>
      <w:r w:rsidRPr="00B14CCC">
        <w:rPr>
          <w:rFonts w:ascii="Times New Roman" w:eastAsia="Times New Roman" w:hAnsi="Times New Roman" w:cs="Times New Roman"/>
          <w:i/>
          <w:iCs/>
          <w:sz w:val="24"/>
          <w:szCs w:val="24"/>
        </w:rPr>
        <w:t>Drugs, 69</w:t>
      </w:r>
      <w:r w:rsidRPr="00B14CCC">
        <w:rPr>
          <w:rFonts w:ascii="Times New Roman" w:eastAsia="Times New Roman" w:hAnsi="Times New Roman" w:cs="Times New Roman"/>
          <w:sz w:val="24"/>
          <w:szCs w:val="24"/>
        </w:rPr>
        <w:t xml:space="preserve">(13), 1777-1798. </w:t>
      </w:r>
      <w:hyperlink r:id="rId42" w:history="1">
        <w:r w:rsidRPr="00B14CCC">
          <w:rPr>
            <w:rFonts w:ascii="Times New Roman" w:eastAsia="Times New Roman" w:hAnsi="Times New Roman" w:cs="Times New Roman"/>
            <w:color w:val="0000FF"/>
            <w:sz w:val="24"/>
            <w:szCs w:val="24"/>
            <w:u w:val="single"/>
          </w:rPr>
          <w:t>https://doi.org/10.2165/11317010-000000000-00000</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 xml:space="preserve">Jayaprakasha, G. K., Jagan Mohan Rao, L., &amp; Sakariah, K. K. (2005). Chemistry and biological activities of </w:t>
      </w:r>
      <w:r w:rsidRPr="00B14CCC">
        <w:rPr>
          <w:rFonts w:ascii="Times New Roman" w:eastAsia="Times New Roman" w:hAnsi="Times New Roman" w:cs="Times New Roman"/>
          <w:i/>
          <w:iCs/>
          <w:sz w:val="24"/>
          <w:szCs w:val="24"/>
        </w:rPr>
        <w:t>C. longa</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Trends in Food Science &amp; Technology, 16</w:t>
      </w:r>
      <w:r w:rsidRPr="00B14CCC">
        <w:rPr>
          <w:rFonts w:ascii="Times New Roman" w:eastAsia="Times New Roman" w:hAnsi="Times New Roman" w:cs="Times New Roman"/>
          <w:sz w:val="24"/>
          <w:szCs w:val="24"/>
        </w:rPr>
        <w:t xml:space="preserve">(12), 533-548. </w:t>
      </w:r>
      <w:hyperlink r:id="rId43" w:history="1">
        <w:r w:rsidRPr="00B14CCC">
          <w:rPr>
            <w:rFonts w:ascii="Times New Roman" w:eastAsia="Times New Roman" w:hAnsi="Times New Roman" w:cs="Times New Roman"/>
            <w:color w:val="0000FF"/>
            <w:sz w:val="24"/>
            <w:szCs w:val="24"/>
            <w:u w:val="single"/>
          </w:rPr>
          <w:t>https://doi.org/10.1016/j.tifs.2005.08.006</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Jordan, M. A., &amp; Wilson, L. (2004). Microtubules as a target for anticancer drugs. </w:t>
      </w:r>
      <w:r w:rsidRPr="00B14CCC">
        <w:rPr>
          <w:rFonts w:ascii="Times New Roman" w:eastAsia="Times New Roman" w:hAnsi="Times New Roman" w:cs="Times New Roman"/>
          <w:i/>
          <w:iCs/>
          <w:sz w:val="24"/>
          <w:szCs w:val="24"/>
        </w:rPr>
        <w:t>Nature Reviews Cancer, 4</w:t>
      </w:r>
      <w:r w:rsidRPr="00B14CCC">
        <w:rPr>
          <w:rFonts w:ascii="Times New Roman" w:eastAsia="Times New Roman" w:hAnsi="Times New Roman" w:cs="Times New Roman"/>
          <w:sz w:val="24"/>
          <w:szCs w:val="24"/>
        </w:rPr>
        <w:t xml:space="preserve">(4), 253-265. </w:t>
      </w:r>
      <w:hyperlink r:id="rId44" w:history="1">
        <w:r w:rsidRPr="00B14CCC">
          <w:rPr>
            <w:rFonts w:ascii="Times New Roman" w:eastAsia="Times New Roman" w:hAnsi="Times New Roman" w:cs="Times New Roman"/>
            <w:color w:val="0000FF"/>
            <w:sz w:val="24"/>
            <w:szCs w:val="24"/>
            <w:u w:val="single"/>
          </w:rPr>
          <w:t>https://doi.org/10.1038/nrc1317</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Kang, J., Huo, X., Ren, D., Wang, T., Li, Y., Xiang, Z., Cui, Y., Niu, J., Shen, L., Chen, D., Teng, L., Huang, L., &amp; Li, C. (2020). Precision medicine in herbal medicine: An overview of precision assessment and individualized medication. </w:t>
      </w:r>
      <w:r w:rsidRPr="00B14CCC">
        <w:rPr>
          <w:rFonts w:ascii="Times New Roman" w:eastAsia="Times New Roman" w:hAnsi="Times New Roman" w:cs="Times New Roman"/>
          <w:i/>
          <w:iCs/>
          <w:sz w:val="24"/>
          <w:szCs w:val="24"/>
        </w:rPr>
        <w:t>Chinese Medicine, 15</w:t>
      </w:r>
      <w:r w:rsidRPr="00B14CCC">
        <w:rPr>
          <w:rFonts w:ascii="Times New Roman" w:eastAsia="Times New Roman" w:hAnsi="Times New Roman" w:cs="Times New Roman"/>
          <w:sz w:val="24"/>
          <w:szCs w:val="24"/>
        </w:rPr>
        <w:t xml:space="preserve">, 89. </w:t>
      </w:r>
      <w:hyperlink r:id="rId45" w:history="1">
        <w:r w:rsidRPr="00B14CCC">
          <w:rPr>
            <w:rFonts w:ascii="Times New Roman" w:eastAsia="Times New Roman" w:hAnsi="Times New Roman" w:cs="Times New Roman"/>
            <w:color w:val="0000FF"/>
            <w:sz w:val="24"/>
            <w:szCs w:val="24"/>
            <w:u w:val="single"/>
          </w:rPr>
          <w:t>https://doi.org/10.1186/s13020-020-00371-w</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Keasling, J. D. (2012). Synthetic biology and the development of tools for metabolic engineering. </w:t>
      </w:r>
      <w:r w:rsidRPr="00B14CCC">
        <w:rPr>
          <w:rFonts w:ascii="Times New Roman" w:eastAsia="Times New Roman" w:hAnsi="Times New Roman" w:cs="Times New Roman"/>
          <w:i/>
          <w:iCs/>
          <w:sz w:val="24"/>
          <w:szCs w:val="24"/>
        </w:rPr>
        <w:t>Metabolic Engineering, 14</w:t>
      </w:r>
      <w:r w:rsidRPr="00B14CCC">
        <w:rPr>
          <w:rFonts w:ascii="Times New Roman" w:eastAsia="Times New Roman" w:hAnsi="Times New Roman" w:cs="Times New Roman"/>
          <w:sz w:val="24"/>
          <w:szCs w:val="24"/>
        </w:rPr>
        <w:t xml:space="preserve">(3), 189-195. </w:t>
      </w:r>
      <w:hyperlink r:id="rId46" w:history="1">
        <w:r w:rsidRPr="00B14CCC">
          <w:rPr>
            <w:rFonts w:ascii="Times New Roman" w:eastAsia="Times New Roman" w:hAnsi="Times New Roman" w:cs="Times New Roman"/>
            <w:color w:val="0000FF"/>
            <w:sz w:val="24"/>
            <w:szCs w:val="24"/>
            <w:u w:val="single"/>
          </w:rPr>
          <w:t>https://doi.org/10.1016/j.ymben.2012.01.004</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Kienle, G. S., &amp; Kiene, H. (2010). Complementary cancer therapy: A systematic review of prospective clinical trials on anthroposophic mistletoe extracts. </w:t>
      </w:r>
      <w:r w:rsidRPr="00B14CCC">
        <w:rPr>
          <w:rFonts w:ascii="Times New Roman" w:eastAsia="Times New Roman" w:hAnsi="Times New Roman" w:cs="Times New Roman"/>
          <w:i/>
          <w:iCs/>
          <w:sz w:val="24"/>
          <w:szCs w:val="24"/>
        </w:rPr>
        <w:t>European Journal of Medical Research, 15</w:t>
      </w:r>
      <w:r w:rsidRPr="00B14CCC">
        <w:rPr>
          <w:rFonts w:ascii="Times New Roman" w:eastAsia="Times New Roman" w:hAnsi="Times New Roman" w:cs="Times New Roman"/>
          <w:sz w:val="24"/>
          <w:szCs w:val="24"/>
        </w:rPr>
        <w:t xml:space="preserve">(Suppl. 2), 109-119. </w:t>
      </w:r>
      <w:hyperlink r:id="rId47" w:history="1">
        <w:r w:rsidRPr="00B14CCC">
          <w:rPr>
            <w:rFonts w:ascii="Times New Roman" w:eastAsia="Times New Roman" w:hAnsi="Times New Roman" w:cs="Times New Roman"/>
            <w:color w:val="0000FF"/>
            <w:sz w:val="24"/>
            <w:szCs w:val="24"/>
            <w:u w:val="single"/>
          </w:rPr>
          <w:t>https://doi.org/10.1186/2047-783X-15-S2-109</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Kim, H. K., Choi, Y. H., &amp; Verpoorte, R. (2010). NMR-based metabolomic analysis of plants. </w:t>
      </w:r>
      <w:r w:rsidRPr="00B14CCC">
        <w:rPr>
          <w:rFonts w:ascii="Times New Roman" w:eastAsia="Times New Roman" w:hAnsi="Times New Roman" w:cs="Times New Roman"/>
          <w:i/>
          <w:iCs/>
          <w:sz w:val="24"/>
          <w:szCs w:val="24"/>
        </w:rPr>
        <w:t>Nature Protocols, 5</w:t>
      </w:r>
      <w:r w:rsidRPr="00B14CCC">
        <w:rPr>
          <w:rFonts w:ascii="Times New Roman" w:eastAsia="Times New Roman" w:hAnsi="Times New Roman" w:cs="Times New Roman"/>
          <w:sz w:val="24"/>
          <w:szCs w:val="24"/>
        </w:rPr>
        <w:t xml:space="preserve">(3), 536-549. </w:t>
      </w:r>
      <w:hyperlink r:id="rId48" w:history="1">
        <w:r w:rsidRPr="00B14CCC">
          <w:rPr>
            <w:rFonts w:ascii="Times New Roman" w:eastAsia="Times New Roman" w:hAnsi="Times New Roman" w:cs="Times New Roman"/>
            <w:color w:val="0000FF"/>
            <w:sz w:val="24"/>
            <w:szCs w:val="24"/>
            <w:u w:val="single"/>
          </w:rPr>
          <w:t>https://doi.org/10.1038/nprot.2009.237</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Kumar, A., Kaur, R., Arora, S., &amp; Kumar, S. (2013). Biotechnological advances in terpenoid production. </w:t>
      </w:r>
      <w:r w:rsidRPr="00B14CCC">
        <w:rPr>
          <w:rFonts w:ascii="Times New Roman" w:eastAsia="Times New Roman" w:hAnsi="Times New Roman" w:cs="Times New Roman"/>
          <w:i/>
          <w:iCs/>
          <w:sz w:val="24"/>
          <w:szCs w:val="24"/>
        </w:rPr>
        <w:t>Medicinal &amp; Aromatic Plants, 2</w:t>
      </w:r>
      <w:r w:rsidRPr="00B14CCC">
        <w:rPr>
          <w:rFonts w:ascii="Times New Roman" w:eastAsia="Times New Roman" w:hAnsi="Times New Roman" w:cs="Times New Roman"/>
          <w:sz w:val="24"/>
          <w:szCs w:val="24"/>
        </w:rPr>
        <w:t xml:space="preserve">(1), 130. </w:t>
      </w:r>
      <w:hyperlink r:id="rId49" w:history="1">
        <w:r w:rsidRPr="00B14CCC">
          <w:rPr>
            <w:rFonts w:ascii="Times New Roman" w:eastAsia="Times New Roman" w:hAnsi="Times New Roman" w:cs="Times New Roman"/>
            <w:color w:val="0000FF"/>
            <w:sz w:val="24"/>
            <w:szCs w:val="24"/>
            <w:u w:val="single"/>
          </w:rPr>
          <w:t>https://doi.org/10.4172/2167-0412.1000130</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Kumar, G. P., &amp; Singh, R. P. (2015). Neuroprotective effects of phytochemicals. </w:t>
      </w:r>
      <w:r w:rsidRPr="00B14CCC">
        <w:rPr>
          <w:rFonts w:ascii="Times New Roman" w:eastAsia="Times New Roman" w:hAnsi="Times New Roman" w:cs="Times New Roman"/>
          <w:i/>
          <w:iCs/>
          <w:sz w:val="24"/>
          <w:szCs w:val="24"/>
        </w:rPr>
        <w:t>Advances in Food and Nutrition Research, 75</w:t>
      </w:r>
      <w:r w:rsidRPr="00B14CCC">
        <w:rPr>
          <w:rFonts w:ascii="Times New Roman" w:eastAsia="Times New Roman" w:hAnsi="Times New Roman" w:cs="Times New Roman"/>
          <w:sz w:val="24"/>
          <w:szCs w:val="24"/>
        </w:rPr>
        <w:t xml:space="preserve">, 105-144. </w:t>
      </w:r>
      <w:hyperlink r:id="rId50" w:history="1">
        <w:r w:rsidRPr="00B14CCC">
          <w:rPr>
            <w:rFonts w:ascii="Times New Roman" w:eastAsia="Times New Roman" w:hAnsi="Times New Roman" w:cs="Times New Roman"/>
            <w:color w:val="0000FF"/>
            <w:sz w:val="24"/>
            <w:szCs w:val="24"/>
            <w:u w:val="single"/>
          </w:rPr>
          <w:t>https://doi.org/10.1016/bs.afnr.2015.07.002</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Lakshmi, T., Krishnan, V., Rajendran, R., &amp; Madhusudhanan, N. (2015). </w:t>
      </w:r>
      <w:r w:rsidRPr="00B14CCC">
        <w:rPr>
          <w:rFonts w:ascii="Times New Roman" w:eastAsia="Times New Roman" w:hAnsi="Times New Roman" w:cs="Times New Roman"/>
          <w:i/>
          <w:iCs/>
          <w:sz w:val="24"/>
          <w:szCs w:val="24"/>
        </w:rPr>
        <w:t>Azadirachta indica</w:t>
      </w:r>
      <w:r w:rsidRPr="00B14CCC">
        <w:rPr>
          <w:rFonts w:ascii="Times New Roman" w:eastAsia="Times New Roman" w:hAnsi="Times New Roman" w:cs="Times New Roman"/>
          <w:sz w:val="24"/>
          <w:szCs w:val="24"/>
        </w:rPr>
        <w:t xml:space="preserve">: </w:t>
      </w:r>
      <w:proofErr w:type="gramStart"/>
      <w:r w:rsidRPr="00B14CCC">
        <w:rPr>
          <w:rFonts w:ascii="Times New Roman" w:eastAsia="Times New Roman" w:hAnsi="Times New Roman" w:cs="Times New Roman"/>
          <w:sz w:val="24"/>
          <w:szCs w:val="24"/>
        </w:rPr>
        <w:t>A</w:t>
      </w:r>
      <w:proofErr w:type="gramEnd"/>
      <w:r w:rsidRPr="00B14CCC">
        <w:rPr>
          <w:rFonts w:ascii="Times New Roman" w:eastAsia="Times New Roman" w:hAnsi="Times New Roman" w:cs="Times New Roman"/>
          <w:sz w:val="24"/>
          <w:szCs w:val="24"/>
        </w:rPr>
        <w:t xml:space="preserve"> herbal panacea in dentistry - An update. </w:t>
      </w:r>
      <w:r w:rsidRPr="00B14CCC">
        <w:rPr>
          <w:rFonts w:ascii="Times New Roman" w:eastAsia="Times New Roman" w:hAnsi="Times New Roman" w:cs="Times New Roman"/>
          <w:i/>
          <w:iCs/>
          <w:sz w:val="24"/>
          <w:szCs w:val="24"/>
        </w:rPr>
        <w:t>Pharmacognosy Reviews, 9</w:t>
      </w:r>
      <w:r w:rsidRPr="00B14CCC">
        <w:rPr>
          <w:rFonts w:ascii="Times New Roman" w:eastAsia="Times New Roman" w:hAnsi="Times New Roman" w:cs="Times New Roman"/>
          <w:sz w:val="24"/>
          <w:szCs w:val="24"/>
        </w:rPr>
        <w:t xml:space="preserve">(17), 41-44. </w:t>
      </w:r>
      <w:hyperlink r:id="rId51" w:history="1">
        <w:r w:rsidRPr="00B14CCC">
          <w:rPr>
            <w:rFonts w:ascii="Times New Roman" w:eastAsia="Times New Roman" w:hAnsi="Times New Roman" w:cs="Times New Roman"/>
            <w:color w:val="0000FF"/>
            <w:sz w:val="24"/>
            <w:szCs w:val="24"/>
            <w:u w:val="single"/>
          </w:rPr>
          <w:t>https://doi.org/10.4103/0973-7847.156337</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Li, S., &amp; Zhang, B. (2013). Traditional Chinese medicine network pharmacology: Theory, methodology and application. </w:t>
      </w:r>
      <w:r w:rsidRPr="00B14CCC">
        <w:rPr>
          <w:rFonts w:ascii="Times New Roman" w:eastAsia="Times New Roman" w:hAnsi="Times New Roman" w:cs="Times New Roman"/>
          <w:i/>
          <w:iCs/>
          <w:sz w:val="24"/>
          <w:szCs w:val="24"/>
        </w:rPr>
        <w:t>Chinese Journal of Natural Medicines, 11</w:t>
      </w:r>
      <w:r w:rsidRPr="00B14CCC">
        <w:rPr>
          <w:rFonts w:ascii="Times New Roman" w:eastAsia="Times New Roman" w:hAnsi="Times New Roman" w:cs="Times New Roman"/>
          <w:sz w:val="24"/>
          <w:szCs w:val="24"/>
        </w:rPr>
        <w:t xml:space="preserve">(2), 110-120. </w:t>
      </w:r>
      <w:hyperlink r:id="rId52" w:history="1">
        <w:r w:rsidRPr="00B14CCC">
          <w:rPr>
            <w:rFonts w:ascii="Times New Roman" w:eastAsia="Times New Roman" w:hAnsi="Times New Roman" w:cs="Times New Roman"/>
            <w:color w:val="0000FF"/>
            <w:sz w:val="24"/>
            <w:szCs w:val="24"/>
            <w:u w:val="single"/>
          </w:rPr>
          <w:t>https://doi.org/10.1016/S1875-5364(13)60037-0</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Lobo, V., Patil, A., Phatak, A., &amp; Chandra, N. (2010). Free radicals, antioxidants and functional foods: Impact on human health. </w:t>
      </w:r>
      <w:r w:rsidRPr="00B14CCC">
        <w:rPr>
          <w:rFonts w:ascii="Times New Roman" w:eastAsia="Times New Roman" w:hAnsi="Times New Roman" w:cs="Times New Roman"/>
          <w:i/>
          <w:iCs/>
          <w:sz w:val="24"/>
          <w:szCs w:val="24"/>
        </w:rPr>
        <w:t>Pharmacognosy Reviews, 4</w:t>
      </w:r>
      <w:r w:rsidRPr="00B14CCC">
        <w:rPr>
          <w:rFonts w:ascii="Times New Roman" w:eastAsia="Times New Roman" w:hAnsi="Times New Roman" w:cs="Times New Roman"/>
          <w:sz w:val="24"/>
          <w:szCs w:val="24"/>
        </w:rPr>
        <w:t xml:space="preserve">(8), 118-126. </w:t>
      </w:r>
      <w:hyperlink r:id="rId53" w:history="1">
        <w:r w:rsidRPr="00B14CCC">
          <w:rPr>
            <w:rFonts w:ascii="Times New Roman" w:eastAsia="Times New Roman" w:hAnsi="Times New Roman" w:cs="Times New Roman"/>
            <w:color w:val="0000FF"/>
            <w:sz w:val="24"/>
            <w:szCs w:val="24"/>
            <w:u w:val="single"/>
          </w:rPr>
          <w:t>https://doi.org/10.4103/0973-7847.70902</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Maizes, V., Rakel, D., &amp; Niemiec, C. (2009). Integrative medicine and patient-centered care. </w:t>
      </w:r>
      <w:r w:rsidRPr="00B14CCC">
        <w:rPr>
          <w:rFonts w:ascii="Times New Roman" w:eastAsia="Times New Roman" w:hAnsi="Times New Roman" w:cs="Times New Roman"/>
          <w:i/>
          <w:iCs/>
          <w:sz w:val="24"/>
          <w:szCs w:val="24"/>
        </w:rPr>
        <w:t>Explore, 5</w:t>
      </w:r>
      <w:r w:rsidRPr="00B14CCC">
        <w:rPr>
          <w:rFonts w:ascii="Times New Roman" w:eastAsia="Times New Roman" w:hAnsi="Times New Roman" w:cs="Times New Roman"/>
          <w:sz w:val="24"/>
          <w:szCs w:val="24"/>
        </w:rPr>
        <w:t xml:space="preserve">(5), 277-289. </w:t>
      </w:r>
      <w:hyperlink r:id="rId54" w:history="1">
        <w:r w:rsidRPr="00B14CCC">
          <w:rPr>
            <w:rFonts w:ascii="Times New Roman" w:eastAsia="Times New Roman" w:hAnsi="Times New Roman" w:cs="Times New Roman"/>
            <w:color w:val="0000FF"/>
            <w:sz w:val="24"/>
            <w:szCs w:val="24"/>
            <w:u w:val="single"/>
          </w:rPr>
          <w:t>https://doi.org/10.1016/j.explore.2009.06.008</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Manayi, A., Vazirian, M., &amp; Saeidnia, S. (2015). Echinacea purpurea: Pharmacology, phytochemistry and analysis methods. </w:t>
      </w:r>
      <w:r w:rsidRPr="00B14CCC">
        <w:rPr>
          <w:rFonts w:ascii="Times New Roman" w:eastAsia="Times New Roman" w:hAnsi="Times New Roman" w:cs="Times New Roman"/>
          <w:i/>
          <w:iCs/>
          <w:sz w:val="24"/>
          <w:szCs w:val="24"/>
        </w:rPr>
        <w:t>Pharmacognosy Reviews, 9</w:t>
      </w:r>
      <w:r w:rsidRPr="00B14CCC">
        <w:rPr>
          <w:rFonts w:ascii="Times New Roman" w:eastAsia="Times New Roman" w:hAnsi="Times New Roman" w:cs="Times New Roman"/>
          <w:sz w:val="24"/>
          <w:szCs w:val="24"/>
        </w:rPr>
        <w:t xml:space="preserve">(17), 63-72. </w:t>
      </w:r>
      <w:hyperlink r:id="rId55" w:history="1">
        <w:r w:rsidRPr="00B14CCC">
          <w:rPr>
            <w:rFonts w:ascii="Times New Roman" w:eastAsia="Times New Roman" w:hAnsi="Times New Roman" w:cs="Times New Roman"/>
            <w:color w:val="0000FF"/>
            <w:sz w:val="24"/>
            <w:szCs w:val="24"/>
            <w:u w:val="single"/>
          </w:rPr>
          <w:t>https://doi.org/10.4103/0973-7847.156353</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Ncube, N. S., Afolayan, A. J., &amp; Okoh, A. I. (2008). Assessment techniques of antimicrobial properties of natural compounds of plant origin: Current methods and future trends. </w:t>
      </w:r>
      <w:r w:rsidRPr="00B14CCC">
        <w:rPr>
          <w:rFonts w:ascii="Times New Roman" w:eastAsia="Times New Roman" w:hAnsi="Times New Roman" w:cs="Times New Roman"/>
          <w:i/>
          <w:iCs/>
          <w:sz w:val="24"/>
          <w:szCs w:val="24"/>
        </w:rPr>
        <w:t>African Journal of Biotechnology, 7</w:t>
      </w:r>
      <w:r w:rsidRPr="00B14CCC">
        <w:rPr>
          <w:rFonts w:ascii="Times New Roman" w:eastAsia="Times New Roman" w:hAnsi="Times New Roman" w:cs="Times New Roman"/>
          <w:sz w:val="24"/>
          <w:szCs w:val="24"/>
        </w:rPr>
        <w:t>(12), 1797-1806.</w:t>
      </w:r>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Newman, D. J., &amp; Cragg, G. M. (2016). Natural products as sources of new drugs from 1981 to 2014. </w:t>
      </w:r>
      <w:r w:rsidRPr="00B14CCC">
        <w:rPr>
          <w:rFonts w:ascii="Times New Roman" w:eastAsia="Times New Roman" w:hAnsi="Times New Roman" w:cs="Times New Roman"/>
          <w:i/>
          <w:iCs/>
          <w:sz w:val="24"/>
          <w:szCs w:val="24"/>
        </w:rPr>
        <w:t>Journal of Natural Products, 79</w:t>
      </w:r>
      <w:r w:rsidRPr="00B14CCC">
        <w:rPr>
          <w:rFonts w:ascii="Times New Roman" w:eastAsia="Times New Roman" w:hAnsi="Times New Roman" w:cs="Times New Roman"/>
          <w:sz w:val="24"/>
          <w:szCs w:val="24"/>
        </w:rPr>
        <w:t xml:space="preserve">(3), 629-661. </w:t>
      </w:r>
      <w:hyperlink r:id="rId56" w:history="1">
        <w:r w:rsidRPr="00B14CCC">
          <w:rPr>
            <w:rFonts w:ascii="Times New Roman" w:eastAsia="Times New Roman" w:hAnsi="Times New Roman" w:cs="Times New Roman"/>
            <w:color w:val="0000FF"/>
            <w:sz w:val="24"/>
            <w:szCs w:val="24"/>
            <w:u w:val="single"/>
          </w:rPr>
          <w:t>https://doi.org/10.1021/acs.jnatprod.5b01055</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 xml:space="preserve">Newman, D. J., &amp; Cragg, G. M. (2020). Natural products as sources of new drugs over the nearly four decades from 01/1981 to 09/2019. </w:t>
      </w:r>
      <w:r w:rsidRPr="00B14CCC">
        <w:rPr>
          <w:rFonts w:ascii="Times New Roman" w:eastAsia="Times New Roman" w:hAnsi="Times New Roman" w:cs="Times New Roman"/>
          <w:i/>
          <w:iCs/>
          <w:sz w:val="24"/>
          <w:szCs w:val="24"/>
        </w:rPr>
        <w:t>Journal of Natural Products, 83</w:t>
      </w:r>
      <w:r w:rsidRPr="00B14CCC">
        <w:rPr>
          <w:rFonts w:ascii="Times New Roman" w:eastAsia="Times New Roman" w:hAnsi="Times New Roman" w:cs="Times New Roman"/>
          <w:sz w:val="24"/>
          <w:szCs w:val="24"/>
        </w:rPr>
        <w:t xml:space="preserve">(3), 770-803. </w:t>
      </w:r>
      <w:hyperlink r:id="rId57" w:history="1">
        <w:r w:rsidRPr="00B14CCC">
          <w:rPr>
            <w:rFonts w:ascii="Times New Roman" w:eastAsia="Times New Roman" w:hAnsi="Times New Roman" w:cs="Times New Roman"/>
            <w:color w:val="0000FF"/>
            <w:sz w:val="24"/>
            <w:szCs w:val="24"/>
            <w:u w:val="single"/>
          </w:rPr>
          <w:t>https://doi.org/10.1021/acs.jnatprod.9b01285</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Nimse, S. B., &amp; Pal, D. (2015). Free radicals, natural antioxidants, and their reaction mechanisms. </w:t>
      </w:r>
      <w:r w:rsidRPr="00B14CCC">
        <w:rPr>
          <w:rFonts w:ascii="Times New Roman" w:eastAsia="Times New Roman" w:hAnsi="Times New Roman" w:cs="Times New Roman"/>
          <w:i/>
          <w:iCs/>
          <w:sz w:val="24"/>
          <w:szCs w:val="24"/>
        </w:rPr>
        <w:t>RSC Advances, 5</w:t>
      </w:r>
      <w:r w:rsidRPr="00B14CCC">
        <w:rPr>
          <w:rFonts w:ascii="Times New Roman" w:eastAsia="Times New Roman" w:hAnsi="Times New Roman" w:cs="Times New Roman"/>
          <w:sz w:val="24"/>
          <w:szCs w:val="24"/>
        </w:rPr>
        <w:t xml:space="preserve">(35), 27986-28006. </w:t>
      </w:r>
      <w:hyperlink r:id="rId58" w:history="1">
        <w:r w:rsidRPr="00B14CCC">
          <w:rPr>
            <w:rFonts w:ascii="Times New Roman" w:eastAsia="Times New Roman" w:hAnsi="Times New Roman" w:cs="Times New Roman"/>
            <w:color w:val="0000FF"/>
            <w:sz w:val="24"/>
            <w:szCs w:val="24"/>
            <w:u w:val="single"/>
          </w:rPr>
          <w:t>https://doi.org/10.1039/C4RA13315C</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Nováková, L., Matysová, L., &amp; Solich, P. (2006). Advantages of application of UPLC in pharmaceutical analysis. </w:t>
      </w:r>
      <w:r w:rsidRPr="00B14CCC">
        <w:rPr>
          <w:rFonts w:ascii="Times New Roman" w:eastAsia="Times New Roman" w:hAnsi="Times New Roman" w:cs="Times New Roman"/>
          <w:i/>
          <w:iCs/>
          <w:sz w:val="24"/>
          <w:szCs w:val="24"/>
        </w:rPr>
        <w:t>Talanta, 68</w:t>
      </w:r>
      <w:r w:rsidRPr="00B14CCC">
        <w:rPr>
          <w:rFonts w:ascii="Times New Roman" w:eastAsia="Times New Roman" w:hAnsi="Times New Roman" w:cs="Times New Roman"/>
          <w:sz w:val="24"/>
          <w:szCs w:val="24"/>
        </w:rPr>
        <w:t xml:space="preserve">(3), 908-918. </w:t>
      </w:r>
      <w:hyperlink r:id="rId59" w:history="1">
        <w:r w:rsidRPr="00B14CCC">
          <w:rPr>
            <w:rFonts w:ascii="Times New Roman" w:eastAsia="Times New Roman" w:hAnsi="Times New Roman" w:cs="Times New Roman"/>
            <w:color w:val="0000FF"/>
            <w:sz w:val="24"/>
            <w:szCs w:val="24"/>
            <w:u w:val="single"/>
          </w:rPr>
          <w:t>https://doi.org/10.1016/j.talanta.2005.06.035</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sz w:val="24"/>
          <w:szCs w:val="24"/>
        </w:rPr>
        <w:t>Ozdal</w:t>
      </w:r>
      <w:proofErr w:type="spellEnd"/>
      <w:r w:rsidRPr="00B14CCC">
        <w:rPr>
          <w:rFonts w:ascii="Times New Roman" w:eastAsia="Times New Roman" w:hAnsi="Times New Roman" w:cs="Times New Roman"/>
          <w:sz w:val="24"/>
          <w:szCs w:val="24"/>
        </w:rPr>
        <w:t xml:space="preserve">, T., Sela, D. A., Xiao, J., Boyacioglu, D., Chen, F., &amp; Capanoglu, E. (2016). The reciprocal interactions between polyphenols and gut microbiota and effects on bioaccessibility. </w:t>
      </w:r>
      <w:r w:rsidRPr="00B14CCC">
        <w:rPr>
          <w:rFonts w:ascii="Times New Roman" w:eastAsia="Times New Roman" w:hAnsi="Times New Roman" w:cs="Times New Roman"/>
          <w:i/>
          <w:iCs/>
          <w:sz w:val="24"/>
          <w:szCs w:val="24"/>
        </w:rPr>
        <w:t>Nutrients, 8</w:t>
      </w:r>
      <w:r w:rsidRPr="00B14CCC">
        <w:rPr>
          <w:rFonts w:ascii="Times New Roman" w:eastAsia="Times New Roman" w:hAnsi="Times New Roman" w:cs="Times New Roman"/>
          <w:sz w:val="24"/>
          <w:szCs w:val="24"/>
        </w:rPr>
        <w:t xml:space="preserve">(2), 78. </w:t>
      </w:r>
      <w:hyperlink r:id="rId60" w:history="1">
        <w:r w:rsidRPr="00B14CCC">
          <w:rPr>
            <w:rFonts w:ascii="Times New Roman" w:eastAsia="Times New Roman" w:hAnsi="Times New Roman" w:cs="Times New Roman"/>
            <w:color w:val="0000FF"/>
            <w:sz w:val="24"/>
            <w:szCs w:val="24"/>
            <w:u w:val="single"/>
          </w:rPr>
          <w:t>https://doi.org/10.3390/nu8020078</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Panche, A. N., Diwan, A. D., &amp; Chandra, S. R. (2016). Flavonoids: An overview. </w:t>
      </w:r>
      <w:r w:rsidRPr="00B14CCC">
        <w:rPr>
          <w:rFonts w:ascii="Times New Roman" w:eastAsia="Times New Roman" w:hAnsi="Times New Roman" w:cs="Times New Roman"/>
          <w:i/>
          <w:iCs/>
          <w:sz w:val="24"/>
          <w:szCs w:val="24"/>
        </w:rPr>
        <w:t>Journal of Nutritional Science, 5</w:t>
      </w:r>
      <w:r w:rsidRPr="00B14CCC">
        <w:rPr>
          <w:rFonts w:ascii="Times New Roman" w:eastAsia="Times New Roman" w:hAnsi="Times New Roman" w:cs="Times New Roman"/>
          <w:sz w:val="24"/>
          <w:szCs w:val="24"/>
        </w:rPr>
        <w:t xml:space="preserve">, e47. </w:t>
      </w:r>
      <w:hyperlink r:id="rId61" w:history="1">
        <w:r w:rsidRPr="00B14CCC">
          <w:rPr>
            <w:rFonts w:ascii="Times New Roman" w:eastAsia="Times New Roman" w:hAnsi="Times New Roman" w:cs="Times New Roman"/>
            <w:color w:val="0000FF"/>
            <w:sz w:val="24"/>
            <w:szCs w:val="24"/>
            <w:u w:val="single"/>
          </w:rPr>
          <w:t>https://doi.org/10.1017/jns.2016.41</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Panossian, A., &amp; Wikman, G. (2010). Effects of adaptogens on the central nervous system and the molecular mechanisms associated with their stress-protective activity. </w:t>
      </w:r>
      <w:r w:rsidRPr="00B14CCC">
        <w:rPr>
          <w:rFonts w:ascii="Times New Roman" w:eastAsia="Times New Roman" w:hAnsi="Times New Roman" w:cs="Times New Roman"/>
          <w:i/>
          <w:iCs/>
          <w:sz w:val="24"/>
          <w:szCs w:val="24"/>
        </w:rPr>
        <w:t>Pharmaceuticals, 3</w:t>
      </w:r>
      <w:r w:rsidRPr="00B14CCC">
        <w:rPr>
          <w:rFonts w:ascii="Times New Roman" w:eastAsia="Times New Roman" w:hAnsi="Times New Roman" w:cs="Times New Roman"/>
          <w:sz w:val="24"/>
          <w:szCs w:val="24"/>
        </w:rPr>
        <w:t xml:space="preserve">(1), 188-224. </w:t>
      </w:r>
      <w:hyperlink r:id="rId62" w:history="1">
        <w:r w:rsidRPr="00B14CCC">
          <w:rPr>
            <w:rFonts w:ascii="Times New Roman" w:eastAsia="Times New Roman" w:hAnsi="Times New Roman" w:cs="Times New Roman"/>
            <w:color w:val="0000FF"/>
            <w:sz w:val="24"/>
            <w:szCs w:val="24"/>
            <w:u w:val="single"/>
          </w:rPr>
          <w:t>https://doi.org/10.3390/ph3010188</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Patra, J. K., Das, G., Fraceto, L. F., Campos, E. V. R., Rodriguez-Torres, M. D. P., Acosta-Torres, L. S., Diaz-Torres, L. A., Grillo, R., Swamy, M. K., Sharma, S., Habtemariam, S., &amp; Shin, H. S. (2018). Nano based drug delivery systems: Recent developments and future prospects. </w:t>
      </w:r>
      <w:r w:rsidRPr="00B14CCC">
        <w:rPr>
          <w:rFonts w:ascii="Times New Roman" w:eastAsia="Times New Roman" w:hAnsi="Times New Roman" w:cs="Times New Roman"/>
          <w:i/>
          <w:iCs/>
          <w:sz w:val="24"/>
          <w:szCs w:val="24"/>
        </w:rPr>
        <w:t>Journal of Nanobiotechnology, 16</w:t>
      </w:r>
      <w:r w:rsidRPr="00B14CCC">
        <w:rPr>
          <w:rFonts w:ascii="Times New Roman" w:eastAsia="Times New Roman" w:hAnsi="Times New Roman" w:cs="Times New Roman"/>
          <w:sz w:val="24"/>
          <w:szCs w:val="24"/>
        </w:rPr>
        <w:t xml:space="preserve">(1), 71. </w:t>
      </w:r>
      <w:hyperlink r:id="rId63" w:history="1">
        <w:r w:rsidRPr="00B14CCC">
          <w:rPr>
            <w:rFonts w:ascii="Times New Roman" w:eastAsia="Times New Roman" w:hAnsi="Times New Roman" w:cs="Times New Roman"/>
            <w:color w:val="0000FF"/>
            <w:sz w:val="24"/>
            <w:szCs w:val="24"/>
            <w:u w:val="single"/>
          </w:rPr>
          <w:t>https://doi.org/10.1186/s12951-018-0392-8</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Pauli, G. F., Chen, S. N., Simmler, C., Lankin, D. C., Gödecke, T., Jaki, B. U., Friesen, J. B., McAlpine, J. B., &amp; Napolitano, J. G. (2012). Importance of purity evaluation and the potential of quantitative ¹H NMR as </w:t>
      </w:r>
      <w:proofErr w:type="gramStart"/>
      <w:r w:rsidRPr="00B14CCC">
        <w:rPr>
          <w:rFonts w:ascii="Times New Roman" w:eastAsia="Times New Roman" w:hAnsi="Times New Roman" w:cs="Times New Roman"/>
          <w:sz w:val="24"/>
          <w:szCs w:val="24"/>
        </w:rPr>
        <w:t>a purity</w:t>
      </w:r>
      <w:proofErr w:type="gramEnd"/>
      <w:r w:rsidRPr="00B14CCC">
        <w:rPr>
          <w:rFonts w:ascii="Times New Roman" w:eastAsia="Times New Roman" w:hAnsi="Times New Roman" w:cs="Times New Roman"/>
          <w:sz w:val="24"/>
          <w:szCs w:val="24"/>
        </w:rPr>
        <w:t xml:space="preserve"> assay. </w:t>
      </w:r>
      <w:r w:rsidRPr="00B14CCC">
        <w:rPr>
          <w:rFonts w:ascii="Times New Roman" w:eastAsia="Times New Roman" w:hAnsi="Times New Roman" w:cs="Times New Roman"/>
          <w:i/>
          <w:iCs/>
          <w:sz w:val="24"/>
          <w:szCs w:val="24"/>
        </w:rPr>
        <w:t>Journal of Medicinal Chemistry, 57</w:t>
      </w:r>
      <w:r w:rsidRPr="00B14CCC">
        <w:rPr>
          <w:rFonts w:ascii="Times New Roman" w:eastAsia="Times New Roman" w:hAnsi="Times New Roman" w:cs="Times New Roman"/>
          <w:sz w:val="24"/>
          <w:szCs w:val="24"/>
        </w:rPr>
        <w:t xml:space="preserve">(22), 9220-9231. </w:t>
      </w:r>
      <w:hyperlink r:id="rId64" w:history="1">
        <w:r w:rsidRPr="00B14CCC">
          <w:rPr>
            <w:rFonts w:ascii="Times New Roman" w:eastAsia="Times New Roman" w:hAnsi="Times New Roman" w:cs="Times New Roman"/>
            <w:color w:val="0000FF"/>
            <w:sz w:val="24"/>
            <w:szCs w:val="24"/>
            <w:u w:val="single"/>
          </w:rPr>
          <w:t>https://doi.org/10.1021/jm500734a</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Petrovska, B. B. (2012). Historical review of medicinal plants' usage. </w:t>
      </w:r>
      <w:r w:rsidRPr="00B14CCC">
        <w:rPr>
          <w:rFonts w:ascii="Times New Roman" w:eastAsia="Times New Roman" w:hAnsi="Times New Roman" w:cs="Times New Roman"/>
          <w:i/>
          <w:iCs/>
          <w:sz w:val="24"/>
          <w:szCs w:val="24"/>
        </w:rPr>
        <w:t>Pharmacognosy Reviews, 6</w:t>
      </w:r>
      <w:r w:rsidRPr="00B14CCC">
        <w:rPr>
          <w:rFonts w:ascii="Times New Roman" w:eastAsia="Times New Roman" w:hAnsi="Times New Roman" w:cs="Times New Roman"/>
          <w:sz w:val="24"/>
          <w:szCs w:val="24"/>
        </w:rPr>
        <w:t xml:space="preserve">(11), 1-5. </w:t>
      </w:r>
      <w:hyperlink r:id="rId65" w:history="1">
        <w:r w:rsidRPr="00B14CCC">
          <w:rPr>
            <w:rFonts w:ascii="Times New Roman" w:eastAsia="Times New Roman" w:hAnsi="Times New Roman" w:cs="Times New Roman"/>
            <w:color w:val="0000FF"/>
            <w:sz w:val="24"/>
            <w:szCs w:val="24"/>
            <w:u w:val="single"/>
          </w:rPr>
          <w:t>https://doi.org/10.4103/0973-7847.95849</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Pommier, Y. (2013). Drugging topoisomerases: Lessons and challenges. </w:t>
      </w:r>
      <w:r w:rsidRPr="00B14CCC">
        <w:rPr>
          <w:rFonts w:ascii="Times New Roman" w:eastAsia="Times New Roman" w:hAnsi="Times New Roman" w:cs="Times New Roman"/>
          <w:i/>
          <w:iCs/>
          <w:sz w:val="24"/>
          <w:szCs w:val="24"/>
        </w:rPr>
        <w:t>ACS Chemical Biology, 8</w:t>
      </w:r>
      <w:r w:rsidRPr="00B14CCC">
        <w:rPr>
          <w:rFonts w:ascii="Times New Roman" w:eastAsia="Times New Roman" w:hAnsi="Times New Roman" w:cs="Times New Roman"/>
          <w:sz w:val="24"/>
          <w:szCs w:val="24"/>
        </w:rPr>
        <w:t xml:space="preserve">(1), 82-95. </w:t>
      </w:r>
      <w:hyperlink r:id="rId66" w:history="1">
        <w:r w:rsidRPr="00B14CCC">
          <w:rPr>
            <w:rFonts w:ascii="Times New Roman" w:eastAsia="Times New Roman" w:hAnsi="Times New Roman" w:cs="Times New Roman"/>
            <w:color w:val="0000FF"/>
            <w:sz w:val="24"/>
            <w:szCs w:val="24"/>
            <w:u w:val="single"/>
          </w:rPr>
          <w:t>https://doi.org/10.1021/cb300648v</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Prasad, S., &amp; Aggarwal, B. B. (2011). Turmeric, the golden spice: From traditional medicine to modern medicine. In I. F. F. Benzie &amp; S. Wachtel-Galor (Eds.), </w:t>
      </w:r>
      <w:r w:rsidRPr="00B14CCC">
        <w:rPr>
          <w:rFonts w:ascii="Times New Roman" w:eastAsia="Times New Roman" w:hAnsi="Times New Roman" w:cs="Times New Roman"/>
          <w:i/>
          <w:iCs/>
          <w:sz w:val="24"/>
          <w:szCs w:val="24"/>
        </w:rPr>
        <w:t>Herbal medicine: Biomolecular and clinical aspects</w:t>
      </w:r>
      <w:r w:rsidRPr="00B14CCC">
        <w:rPr>
          <w:rFonts w:ascii="Times New Roman" w:eastAsia="Times New Roman" w:hAnsi="Times New Roman" w:cs="Times New Roman"/>
          <w:sz w:val="24"/>
          <w:szCs w:val="24"/>
        </w:rPr>
        <w:t xml:space="preserve"> (2nd ed., pp. 263-288). CRC Press/Taylor &amp; Francis.</w:t>
      </w:r>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Prior, R. L., Wu, X., &amp; Schaich, K. (2005). Standardized methods for the determination of antioxidant capacity and phenolics in foods and dietary supplements. </w:t>
      </w:r>
      <w:r w:rsidRPr="00B14CCC">
        <w:rPr>
          <w:rFonts w:ascii="Times New Roman" w:eastAsia="Times New Roman" w:hAnsi="Times New Roman" w:cs="Times New Roman"/>
          <w:i/>
          <w:iCs/>
          <w:sz w:val="24"/>
          <w:szCs w:val="24"/>
        </w:rPr>
        <w:t>Journal of Agricultural and Food Chemistry, 53</w:t>
      </w:r>
      <w:r w:rsidRPr="00B14CCC">
        <w:rPr>
          <w:rFonts w:ascii="Times New Roman" w:eastAsia="Times New Roman" w:hAnsi="Times New Roman" w:cs="Times New Roman"/>
          <w:sz w:val="24"/>
          <w:szCs w:val="24"/>
        </w:rPr>
        <w:t xml:space="preserve">(10), 4290-4302. </w:t>
      </w:r>
      <w:hyperlink r:id="rId67" w:history="1">
        <w:r w:rsidRPr="00B14CCC">
          <w:rPr>
            <w:rFonts w:ascii="Times New Roman" w:eastAsia="Times New Roman" w:hAnsi="Times New Roman" w:cs="Times New Roman"/>
            <w:color w:val="0000FF"/>
            <w:sz w:val="24"/>
            <w:szCs w:val="24"/>
            <w:u w:val="single"/>
          </w:rPr>
          <w:t>https://doi.org/10.1021/jf0502698</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Robinson, M. M. (2010). Bioprospecting: The commercialization of ethnobotanical knowledge. In S. Pilgrim &amp; J. Pretty (Eds.), </w:t>
      </w:r>
      <w:r w:rsidRPr="00B14CCC">
        <w:rPr>
          <w:rFonts w:ascii="Times New Roman" w:eastAsia="Times New Roman" w:hAnsi="Times New Roman" w:cs="Times New Roman"/>
          <w:i/>
          <w:iCs/>
          <w:sz w:val="24"/>
          <w:szCs w:val="24"/>
        </w:rPr>
        <w:t>Nature and culture: Rebuilding lost connections</w:t>
      </w:r>
      <w:r w:rsidRPr="00B14CCC">
        <w:rPr>
          <w:rFonts w:ascii="Times New Roman" w:eastAsia="Times New Roman" w:hAnsi="Times New Roman" w:cs="Times New Roman"/>
          <w:sz w:val="24"/>
          <w:szCs w:val="24"/>
        </w:rPr>
        <w:t xml:space="preserve"> (pp. 244-263). Earthscan.</w:t>
      </w:r>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Robinson, M. M., &amp; Zhang, X. (2011). </w:t>
      </w:r>
      <w:r w:rsidRPr="00B14CCC">
        <w:rPr>
          <w:rFonts w:ascii="Times New Roman" w:eastAsia="Times New Roman" w:hAnsi="Times New Roman" w:cs="Times New Roman"/>
          <w:i/>
          <w:iCs/>
          <w:sz w:val="24"/>
          <w:szCs w:val="24"/>
        </w:rPr>
        <w:t xml:space="preserve">The world medicines situation 2011: Traditional medicines: Global </w:t>
      </w:r>
      <w:proofErr w:type="gramStart"/>
      <w:r w:rsidRPr="00B14CCC">
        <w:rPr>
          <w:rFonts w:ascii="Times New Roman" w:eastAsia="Times New Roman" w:hAnsi="Times New Roman" w:cs="Times New Roman"/>
          <w:i/>
          <w:iCs/>
          <w:sz w:val="24"/>
          <w:szCs w:val="24"/>
        </w:rPr>
        <w:t>situation,</w:t>
      </w:r>
      <w:proofErr w:type="gramEnd"/>
      <w:r w:rsidRPr="00B14CCC">
        <w:rPr>
          <w:rFonts w:ascii="Times New Roman" w:eastAsia="Times New Roman" w:hAnsi="Times New Roman" w:cs="Times New Roman"/>
          <w:i/>
          <w:iCs/>
          <w:sz w:val="24"/>
          <w:szCs w:val="24"/>
        </w:rPr>
        <w:t xml:space="preserve"> issues and challenges</w:t>
      </w:r>
      <w:r w:rsidRPr="00B14CCC">
        <w:rPr>
          <w:rFonts w:ascii="Times New Roman" w:eastAsia="Times New Roman" w:hAnsi="Times New Roman" w:cs="Times New Roman"/>
          <w:sz w:val="24"/>
          <w:szCs w:val="24"/>
        </w:rPr>
        <w:t>. World Health Organization.</w:t>
      </w:r>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 xml:space="preserve">Rohman, A., &amp; Che Man, Y. B. (2010). Fourier </w:t>
      </w:r>
      <w:proofErr w:type="gramStart"/>
      <w:r w:rsidRPr="00B14CCC">
        <w:rPr>
          <w:rFonts w:ascii="Times New Roman" w:eastAsia="Times New Roman" w:hAnsi="Times New Roman" w:cs="Times New Roman"/>
          <w:sz w:val="24"/>
          <w:szCs w:val="24"/>
        </w:rPr>
        <w:t>transform</w:t>
      </w:r>
      <w:proofErr w:type="gramEnd"/>
      <w:r w:rsidRPr="00B14CCC">
        <w:rPr>
          <w:rFonts w:ascii="Times New Roman" w:eastAsia="Times New Roman" w:hAnsi="Times New Roman" w:cs="Times New Roman"/>
          <w:sz w:val="24"/>
          <w:szCs w:val="24"/>
        </w:rPr>
        <w:t xml:space="preserve"> infrared (FTIR) spectroscopy for analysis of extra virgin olive oil adulterated with palm oil. </w:t>
      </w:r>
      <w:r w:rsidRPr="00B14CCC">
        <w:rPr>
          <w:rFonts w:ascii="Times New Roman" w:eastAsia="Times New Roman" w:hAnsi="Times New Roman" w:cs="Times New Roman"/>
          <w:i/>
          <w:iCs/>
          <w:sz w:val="24"/>
          <w:szCs w:val="24"/>
        </w:rPr>
        <w:t>Food Research International, 43</w:t>
      </w:r>
      <w:r w:rsidRPr="00B14CCC">
        <w:rPr>
          <w:rFonts w:ascii="Times New Roman" w:eastAsia="Times New Roman" w:hAnsi="Times New Roman" w:cs="Times New Roman"/>
          <w:sz w:val="24"/>
          <w:szCs w:val="24"/>
        </w:rPr>
        <w:t xml:space="preserve">(3), 886-892. </w:t>
      </w:r>
      <w:hyperlink r:id="rId68" w:history="1">
        <w:r w:rsidRPr="00B14CCC">
          <w:rPr>
            <w:rFonts w:ascii="Times New Roman" w:eastAsia="Times New Roman" w:hAnsi="Times New Roman" w:cs="Times New Roman"/>
            <w:color w:val="0000FF"/>
            <w:sz w:val="24"/>
            <w:szCs w:val="24"/>
            <w:u w:val="single"/>
          </w:rPr>
          <w:t>https://doi.org/10.1016/j.foodres.2009.12.006</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Saxena, M., Saxena, J., Nema, R., Singh, D., &amp; Gupta, A. (2013). Phytochemistry of medicinal plants. </w:t>
      </w:r>
      <w:r w:rsidRPr="00B14CCC">
        <w:rPr>
          <w:rFonts w:ascii="Times New Roman" w:eastAsia="Times New Roman" w:hAnsi="Times New Roman" w:cs="Times New Roman"/>
          <w:i/>
          <w:iCs/>
          <w:sz w:val="24"/>
          <w:szCs w:val="24"/>
        </w:rPr>
        <w:t>Journal of Pharmacognosy and Phytochemistry, 1</w:t>
      </w:r>
      <w:r w:rsidRPr="00B14CCC">
        <w:rPr>
          <w:rFonts w:ascii="Times New Roman" w:eastAsia="Times New Roman" w:hAnsi="Times New Roman" w:cs="Times New Roman"/>
          <w:sz w:val="24"/>
          <w:szCs w:val="24"/>
        </w:rPr>
        <w:t>(6), 168-182.</w:t>
      </w:r>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Schippmann, U., Leaman, D. J., &amp; Cunningham, A. B. (2002). Impact of cultivation and gathering of medicinal plants on biodiversity: Global trends and issues. In </w:t>
      </w:r>
      <w:r w:rsidRPr="00B14CCC">
        <w:rPr>
          <w:rFonts w:ascii="Times New Roman" w:eastAsia="Times New Roman" w:hAnsi="Times New Roman" w:cs="Times New Roman"/>
          <w:i/>
          <w:iCs/>
          <w:sz w:val="24"/>
          <w:szCs w:val="24"/>
        </w:rPr>
        <w:t>Biodiversity and the ecosystem approach in agriculture, forestry and fisheries</w:t>
      </w:r>
      <w:r w:rsidRPr="00B14CCC">
        <w:rPr>
          <w:rFonts w:ascii="Times New Roman" w:eastAsia="Times New Roman" w:hAnsi="Times New Roman" w:cs="Times New Roman"/>
          <w:sz w:val="24"/>
          <w:szCs w:val="24"/>
        </w:rPr>
        <w:t xml:space="preserve"> (pp. 142-167). Food and Agriculture Organization of the United Nations.</w:t>
      </w:r>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Shah, S. A., Sander, S., White, C. M., Rinaldi, M., &amp; Coleman, C. I. (2007). Evaluation of echinacea for the prevention and treatment of the common cold: A meta-analysis. </w:t>
      </w:r>
      <w:r w:rsidRPr="00B14CCC">
        <w:rPr>
          <w:rFonts w:ascii="Times New Roman" w:eastAsia="Times New Roman" w:hAnsi="Times New Roman" w:cs="Times New Roman"/>
          <w:i/>
          <w:iCs/>
          <w:sz w:val="24"/>
          <w:szCs w:val="24"/>
        </w:rPr>
        <w:t>The Lancet Infectious Diseases, 7</w:t>
      </w:r>
      <w:r w:rsidRPr="00B14CCC">
        <w:rPr>
          <w:rFonts w:ascii="Times New Roman" w:eastAsia="Times New Roman" w:hAnsi="Times New Roman" w:cs="Times New Roman"/>
          <w:sz w:val="24"/>
          <w:szCs w:val="24"/>
        </w:rPr>
        <w:t xml:space="preserve">(7), 473-480. </w:t>
      </w:r>
      <w:hyperlink r:id="rId69" w:history="1">
        <w:r w:rsidRPr="00B14CCC">
          <w:rPr>
            <w:rFonts w:ascii="Times New Roman" w:eastAsia="Times New Roman" w:hAnsi="Times New Roman" w:cs="Times New Roman"/>
            <w:color w:val="0000FF"/>
            <w:sz w:val="24"/>
            <w:szCs w:val="24"/>
            <w:u w:val="single"/>
          </w:rPr>
          <w:t>https://doi.org/10.1016/S1473-3099(07)70160-3</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Sparkman, O. D., Penton, Z., &amp; Kitson, F. G. (2011). </w:t>
      </w:r>
      <w:r w:rsidRPr="00B14CCC">
        <w:rPr>
          <w:rFonts w:ascii="Times New Roman" w:eastAsia="Times New Roman" w:hAnsi="Times New Roman" w:cs="Times New Roman"/>
          <w:i/>
          <w:iCs/>
          <w:sz w:val="24"/>
          <w:szCs w:val="24"/>
        </w:rPr>
        <w:t>Gas chromatography and mass spectrometry: A practical guide</w:t>
      </w:r>
      <w:r w:rsidRPr="00B14CCC">
        <w:rPr>
          <w:rFonts w:ascii="Times New Roman" w:eastAsia="Times New Roman" w:hAnsi="Times New Roman" w:cs="Times New Roman"/>
          <w:sz w:val="24"/>
          <w:szCs w:val="24"/>
        </w:rPr>
        <w:t xml:space="preserve"> (2nd </w:t>
      </w:r>
      <w:proofErr w:type="gramStart"/>
      <w:r w:rsidRPr="00B14CCC">
        <w:rPr>
          <w:rFonts w:ascii="Times New Roman" w:eastAsia="Times New Roman" w:hAnsi="Times New Roman" w:cs="Times New Roman"/>
          <w:sz w:val="24"/>
          <w:szCs w:val="24"/>
        </w:rPr>
        <w:t>ed</w:t>
      </w:r>
      <w:proofErr w:type="gramEnd"/>
      <w:r w:rsidRPr="00B14CCC">
        <w:rPr>
          <w:rFonts w:ascii="Times New Roman" w:eastAsia="Times New Roman" w:hAnsi="Times New Roman" w:cs="Times New Roman"/>
          <w:sz w:val="24"/>
          <w:szCs w:val="24"/>
        </w:rPr>
        <w:t>.). Academic Press.</w:t>
      </w:r>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Tilburt, J. C., &amp; Kaptchuk, T. J. (2008). Herbal medicine research and global health: An ethical analysis. </w:t>
      </w:r>
      <w:r w:rsidRPr="00B14CCC">
        <w:rPr>
          <w:rFonts w:ascii="Times New Roman" w:eastAsia="Times New Roman" w:hAnsi="Times New Roman" w:cs="Times New Roman"/>
          <w:i/>
          <w:iCs/>
          <w:sz w:val="24"/>
          <w:szCs w:val="24"/>
        </w:rPr>
        <w:t>Bulletin of the World Health Organization, 86</w:t>
      </w:r>
      <w:r w:rsidRPr="00B14CCC">
        <w:rPr>
          <w:rFonts w:ascii="Times New Roman" w:eastAsia="Times New Roman" w:hAnsi="Times New Roman" w:cs="Times New Roman"/>
          <w:sz w:val="24"/>
          <w:szCs w:val="24"/>
        </w:rPr>
        <w:t xml:space="preserve">(8), 594-599. </w:t>
      </w:r>
      <w:hyperlink r:id="rId70" w:history="1">
        <w:r w:rsidRPr="00B14CCC">
          <w:rPr>
            <w:rFonts w:ascii="Times New Roman" w:eastAsia="Times New Roman" w:hAnsi="Times New Roman" w:cs="Times New Roman"/>
            <w:color w:val="0000FF"/>
            <w:sz w:val="24"/>
            <w:szCs w:val="24"/>
            <w:u w:val="single"/>
          </w:rPr>
          <w:t>https://doi.org/10.2471/BLT.07.042820</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Tu, Y. (2011). The discovery of artemisinin (qinghaosu) and gifts from Chinese medicine. </w:t>
      </w:r>
      <w:r w:rsidRPr="00B14CCC">
        <w:rPr>
          <w:rFonts w:ascii="Times New Roman" w:eastAsia="Times New Roman" w:hAnsi="Times New Roman" w:cs="Times New Roman"/>
          <w:i/>
          <w:iCs/>
          <w:sz w:val="24"/>
          <w:szCs w:val="24"/>
        </w:rPr>
        <w:t>Nature Medicine, 17</w:t>
      </w:r>
      <w:r w:rsidRPr="00B14CCC">
        <w:rPr>
          <w:rFonts w:ascii="Times New Roman" w:eastAsia="Times New Roman" w:hAnsi="Times New Roman" w:cs="Times New Roman"/>
          <w:sz w:val="24"/>
          <w:szCs w:val="24"/>
        </w:rPr>
        <w:t xml:space="preserve">(10), 1217-1220. </w:t>
      </w:r>
      <w:hyperlink r:id="rId71" w:history="1">
        <w:r w:rsidRPr="00B14CCC">
          <w:rPr>
            <w:rFonts w:ascii="Times New Roman" w:eastAsia="Times New Roman" w:hAnsi="Times New Roman" w:cs="Times New Roman"/>
            <w:color w:val="0000FF"/>
            <w:sz w:val="24"/>
            <w:szCs w:val="24"/>
            <w:u w:val="single"/>
          </w:rPr>
          <w:t>https://doi.org/10.1038/nm.2471</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Vaidya, A. D. B., &amp; Vaidya, R. A. (2010). Reverse pharmacology - A new paradigm for developing Ayurvedic medicines. In P. K. Mukherjee &amp; P. J. Houghton (Eds.), </w:t>
      </w:r>
      <w:r w:rsidRPr="00B14CCC">
        <w:rPr>
          <w:rFonts w:ascii="Times New Roman" w:eastAsia="Times New Roman" w:hAnsi="Times New Roman" w:cs="Times New Roman"/>
          <w:i/>
          <w:iCs/>
          <w:sz w:val="24"/>
          <w:szCs w:val="24"/>
        </w:rPr>
        <w:t>Evaluation of herbal medicinal products</w:t>
      </w:r>
      <w:r w:rsidRPr="00B14CCC">
        <w:rPr>
          <w:rFonts w:ascii="Times New Roman" w:eastAsia="Times New Roman" w:hAnsi="Times New Roman" w:cs="Times New Roman"/>
          <w:sz w:val="24"/>
          <w:szCs w:val="24"/>
        </w:rPr>
        <w:t xml:space="preserve"> (pp. 381-394). Pharmaceutical Press.</w:t>
      </w:r>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Van Der Heijden, R., Jacobs, D. I., Snoeijer, W., Hallard, D., &amp; Verpoorte, R. (2004). The </w:t>
      </w:r>
      <w:r w:rsidRPr="00B14CCC">
        <w:rPr>
          <w:rFonts w:ascii="Times New Roman" w:eastAsia="Times New Roman" w:hAnsi="Times New Roman" w:cs="Times New Roman"/>
          <w:i/>
          <w:iCs/>
          <w:sz w:val="24"/>
          <w:szCs w:val="24"/>
        </w:rPr>
        <w:t>Catharanthus</w:t>
      </w:r>
      <w:r w:rsidRPr="00B14CCC">
        <w:rPr>
          <w:rFonts w:ascii="Times New Roman" w:eastAsia="Times New Roman" w:hAnsi="Times New Roman" w:cs="Times New Roman"/>
          <w:sz w:val="24"/>
          <w:szCs w:val="24"/>
        </w:rPr>
        <w:t xml:space="preserve"> alkaloids: Pharmacognosy and biotechnology. </w:t>
      </w:r>
      <w:r w:rsidRPr="00B14CCC">
        <w:rPr>
          <w:rFonts w:ascii="Times New Roman" w:eastAsia="Times New Roman" w:hAnsi="Times New Roman" w:cs="Times New Roman"/>
          <w:i/>
          <w:iCs/>
          <w:sz w:val="24"/>
          <w:szCs w:val="24"/>
        </w:rPr>
        <w:t>Current Medicinal Chemistry, 11</w:t>
      </w:r>
      <w:r w:rsidRPr="00B14CCC">
        <w:rPr>
          <w:rFonts w:ascii="Times New Roman" w:eastAsia="Times New Roman" w:hAnsi="Times New Roman" w:cs="Times New Roman"/>
          <w:sz w:val="24"/>
          <w:szCs w:val="24"/>
        </w:rPr>
        <w:t xml:space="preserve">(5), 607-628. </w:t>
      </w:r>
      <w:hyperlink r:id="rId72" w:history="1">
        <w:r w:rsidRPr="00B14CCC">
          <w:rPr>
            <w:rFonts w:ascii="Times New Roman" w:eastAsia="Times New Roman" w:hAnsi="Times New Roman" w:cs="Times New Roman"/>
            <w:color w:val="0000FF"/>
            <w:sz w:val="24"/>
            <w:szCs w:val="24"/>
            <w:u w:val="single"/>
          </w:rPr>
          <w:t>https://doi.org/10.2174/0929867043455846</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Verma, P., Mathur, A. K., Srivastava, A., &amp; Mathur, A. (2012). Emerging trends in research on spatial and temporal organization of terpenoid indole alkaloid pathway in </w:t>
      </w:r>
      <w:r w:rsidRPr="00B14CCC">
        <w:rPr>
          <w:rFonts w:ascii="Times New Roman" w:eastAsia="Times New Roman" w:hAnsi="Times New Roman" w:cs="Times New Roman"/>
          <w:i/>
          <w:iCs/>
          <w:sz w:val="24"/>
          <w:szCs w:val="24"/>
        </w:rPr>
        <w:t>Catharanthus roseus</w:t>
      </w:r>
      <w:r w:rsidRPr="00B14CCC">
        <w:rPr>
          <w:rFonts w:ascii="Times New Roman" w:eastAsia="Times New Roman" w:hAnsi="Times New Roman" w:cs="Times New Roman"/>
          <w:sz w:val="24"/>
          <w:szCs w:val="24"/>
        </w:rPr>
        <w:t xml:space="preserve">: A literature update. </w:t>
      </w:r>
      <w:r w:rsidRPr="00B14CCC">
        <w:rPr>
          <w:rFonts w:ascii="Times New Roman" w:eastAsia="Times New Roman" w:hAnsi="Times New Roman" w:cs="Times New Roman"/>
          <w:i/>
          <w:iCs/>
          <w:sz w:val="24"/>
          <w:szCs w:val="24"/>
        </w:rPr>
        <w:t>Protoplasma, 249</w:t>
      </w:r>
      <w:r w:rsidRPr="00B14CCC">
        <w:rPr>
          <w:rFonts w:ascii="Times New Roman" w:eastAsia="Times New Roman" w:hAnsi="Times New Roman" w:cs="Times New Roman"/>
          <w:sz w:val="24"/>
          <w:szCs w:val="24"/>
        </w:rPr>
        <w:t xml:space="preserve">(2), 255-268. </w:t>
      </w:r>
      <w:hyperlink r:id="rId73" w:history="1">
        <w:r w:rsidRPr="00B14CCC">
          <w:rPr>
            <w:rFonts w:ascii="Times New Roman" w:eastAsia="Times New Roman" w:hAnsi="Times New Roman" w:cs="Times New Roman"/>
            <w:color w:val="0000FF"/>
            <w:sz w:val="24"/>
            <w:szCs w:val="24"/>
            <w:u w:val="single"/>
          </w:rPr>
          <w:t>https://doi.org/10.1007/s00709-011-0291-4</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Vincken, J. P., Heng, L., de Groot, A., &amp; Gruppen, H. (2007). Saponins, classification and occurrence in the plant kingdom. </w:t>
      </w:r>
      <w:r w:rsidRPr="00B14CCC">
        <w:rPr>
          <w:rFonts w:ascii="Times New Roman" w:eastAsia="Times New Roman" w:hAnsi="Times New Roman" w:cs="Times New Roman"/>
          <w:i/>
          <w:iCs/>
          <w:sz w:val="24"/>
          <w:szCs w:val="24"/>
        </w:rPr>
        <w:t>Phytochemistry, 68</w:t>
      </w:r>
      <w:r w:rsidRPr="00B14CCC">
        <w:rPr>
          <w:rFonts w:ascii="Times New Roman" w:eastAsia="Times New Roman" w:hAnsi="Times New Roman" w:cs="Times New Roman"/>
          <w:sz w:val="24"/>
          <w:szCs w:val="24"/>
        </w:rPr>
        <w:t xml:space="preserve">(3), 275-297. </w:t>
      </w:r>
      <w:hyperlink r:id="rId74" w:history="1">
        <w:r w:rsidRPr="00B14CCC">
          <w:rPr>
            <w:rFonts w:ascii="Times New Roman" w:eastAsia="Times New Roman" w:hAnsi="Times New Roman" w:cs="Times New Roman"/>
            <w:color w:val="0000FF"/>
            <w:sz w:val="24"/>
            <w:szCs w:val="24"/>
            <w:u w:val="single"/>
          </w:rPr>
          <w:t>https://doi.org/10.1016/j.phytochem.2006.10.008</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Wagner, H., &amp; Ulrich-Merzenich, G. (2009). Synergy research: Approaching a new generation of phytopharmaceuticals. </w:t>
      </w:r>
      <w:r w:rsidRPr="00B14CCC">
        <w:rPr>
          <w:rFonts w:ascii="Times New Roman" w:eastAsia="Times New Roman" w:hAnsi="Times New Roman" w:cs="Times New Roman"/>
          <w:i/>
          <w:iCs/>
          <w:sz w:val="24"/>
          <w:szCs w:val="24"/>
        </w:rPr>
        <w:t>Phytomedicine, 16</w:t>
      </w:r>
      <w:r w:rsidRPr="00B14CCC">
        <w:rPr>
          <w:rFonts w:ascii="Times New Roman" w:eastAsia="Times New Roman" w:hAnsi="Times New Roman" w:cs="Times New Roman"/>
          <w:sz w:val="24"/>
          <w:szCs w:val="24"/>
        </w:rPr>
        <w:t xml:space="preserve">(2-3), 97-110. </w:t>
      </w:r>
      <w:hyperlink r:id="rId75" w:history="1">
        <w:r w:rsidRPr="00B14CCC">
          <w:rPr>
            <w:rFonts w:ascii="Times New Roman" w:eastAsia="Times New Roman" w:hAnsi="Times New Roman" w:cs="Times New Roman"/>
            <w:color w:val="0000FF"/>
            <w:sz w:val="24"/>
            <w:szCs w:val="24"/>
            <w:u w:val="single"/>
          </w:rPr>
          <w:t>https://doi.org/10.1016/j.phymed.2008.12.018</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Weaver, B. A. (2014). How Taxol/paclitaxel kills cancer cells. </w:t>
      </w:r>
      <w:r w:rsidRPr="00B14CCC">
        <w:rPr>
          <w:rFonts w:ascii="Times New Roman" w:eastAsia="Times New Roman" w:hAnsi="Times New Roman" w:cs="Times New Roman"/>
          <w:i/>
          <w:iCs/>
          <w:sz w:val="24"/>
          <w:szCs w:val="24"/>
        </w:rPr>
        <w:t>Molecular Biology of the Cell, 25</w:t>
      </w:r>
      <w:r w:rsidRPr="00B14CCC">
        <w:rPr>
          <w:rFonts w:ascii="Times New Roman" w:eastAsia="Times New Roman" w:hAnsi="Times New Roman" w:cs="Times New Roman"/>
          <w:sz w:val="24"/>
          <w:szCs w:val="24"/>
        </w:rPr>
        <w:t xml:space="preserve">(18), 2677-2681. </w:t>
      </w:r>
      <w:hyperlink r:id="rId76" w:history="1">
        <w:r w:rsidRPr="00B14CCC">
          <w:rPr>
            <w:rFonts w:ascii="Times New Roman" w:eastAsia="Times New Roman" w:hAnsi="Times New Roman" w:cs="Times New Roman"/>
            <w:color w:val="0000FF"/>
            <w:sz w:val="24"/>
            <w:szCs w:val="24"/>
            <w:u w:val="single"/>
          </w:rPr>
          <w:t>https://doi.org/10.1091/mbc.E14-04-0916</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Willcox, J. K., Ash, S. L., &amp; Catignani, G. L. (2004). Antioxidants and prevention of chronic disease. </w:t>
      </w:r>
      <w:r w:rsidRPr="00B14CCC">
        <w:rPr>
          <w:rFonts w:ascii="Times New Roman" w:eastAsia="Times New Roman" w:hAnsi="Times New Roman" w:cs="Times New Roman"/>
          <w:i/>
          <w:iCs/>
          <w:sz w:val="24"/>
          <w:szCs w:val="24"/>
        </w:rPr>
        <w:t>Critical Reviews in Food Science and Nutrition, 44</w:t>
      </w:r>
      <w:r w:rsidRPr="00B14CCC">
        <w:rPr>
          <w:rFonts w:ascii="Times New Roman" w:eastAsia="Times New Roman" w:hAnsi="Times New Roman" w:cs="Times New Roman"/>
          <w:sz w:val="24"/>
          <w:szCs w:val="24"/>
        </w:rPr>
        <w:t xml:space="preserve">(4), 275-295. </w:t>
      </w:r>
      <w:hyperlink r:id="rId77" w:history="1">
        <w:r w:rsidRPr="00B14CCC">
          <w:rPr>
            <w:rFonts w:ascii="Times New Roman" w:eastAsia="Times New Roman" w:hAnsi="Times New Roman" w:cs="Times New Roman"/>
            <w:color w:val="0000FF"/>
            <w:sz w:val="24"/>
            <w:szCs w:val="24"/>
            <w:u w:val="single"/>
          </w:rPr>
          <w:t>https://doi.org/10.1080/10408690490468489</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 xml:space="preserve">Wińska, K., Mączka, W., Łyczko, J., Grabarczyk, M., Czubaszek, A., &amp; Szumny, A. (2019). Essential oils as antimicrobial agents—Myth or real alternative? </w:t>
      </w:r>
      <w:r w:rsidRPr="00B14CCC">
        <w:rPr>
          <w:rFonts w:ascii="Times New Roman" w:eastAsia="Times New Roman" w:hAnsi="Times New Roman" w:cs="Times New Roman"/>
          <w:i/>
          <w:iCs/>
          <w:sz w:val="24"/>
          <w:szCs w:val="24"/>
        </w:rPr>
        <w:t>Molecules, 24</w:t>
      </w:r>
      <w:r w:rsidRPr="00B14CCC">
        <w:rPr>
          <w:rFonts w:ascii="Times New Roman" w:eastAsia="Times New Roman" w:hAnsi="Times New Roman" w:cs="Times New Roman"/>
          <w:sz w:val="24"/>
          <w:szCs w:val="24"/>
        </w:rPr>
        <w:t xml:space="preserve">(11), 2130. </w:t>
      </w:r>
      <w:hyperlink r:id="rId78" w:history="1">
        <w:r w:rsidRPr="00B14CCC">
          <w:rPr>
            <w:rFonts w:ascii="Times New Roman" w:eastAsia="Times New Roman" w:hAnsi="Times New Roman" w:cs="Times New Roman"/>
            <w:color w:val="0000FF"/>
            <w:sz w:val="24"/>
            <w:szCs w:val="24"/>
            <w:u w:val="single"/>
          </w:rPr>
          <w:t>https://doi.org/10.3390/molecules24112130</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Witt, C. M., Balneaves, L. G., Cardoso, M. J., Cohen, L., Greenlee, H., Johnstone, P., Ladas, E. J., Perlman, A., &amp; Rampp, T. (2011). A comprehensive definition for integrative oncology. </w:t>
      </w:r>
      <w:r w:rsidRPr="00B14CCC">
        <w:rPr>
          <w:rFonts w:ascii="Times New Roman" w:eastAsia="Times New Roman" w:hAnsi="Times New Roman" w:cs="Times New Roman"/>
          <w:i/>
          <w:iCs/>
          <w:sz w:val="24"/>
          <w:szCs w:val="24"/>
        </w:rPr>
        <w:t>Journal of the National Cancer Institute Monographs, 2017</w:t>
      </w:r>
      <w:r w:rsidRPr="00B14CCC">
        <w:rPr>
          <w:rFonts w:ascii="Times New Roman" w:eastAsia="Times New Roman" w:hAnsi="Times New Roman" w:cs="Times New Roman"/>
          <w:sz w:val="24"/>
          <w:szCs w:val="24"/>
        </w:rPr>
        <w:t xml:space="preserve">(52), lgx012. </w:t>
      </w:r>
      <w:hyperlink r:id="rId79" w:history="1">
        <w:r w:rsidRPr="00B14CCC">
          <w:rPr>
            <w:rFonts w:ascii="Times New Roman" w:eastAsia="Times New Roman" w:hAnsi="Times New Roman" w:cs="Times New Roman"/>
            <w:color w:val="0000FF"/>
            <w:sz w:val="24"/>
            <w:szCs w:val="24"/>
            <w:u w:val="single"/>
          </w:rPr>
          <w:t>https://doi.org/10.1093/jncimonographs/lgx012</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Wolfender, J. L., Marti, G., Thomas, A., &amp; Bertrand, S. (2015). Current approaches and challenges for the metabolite profiling of complex natural extracts. </w:t>
      </w:r>
      <w:r w:rsidRPr="00B14CCC">
        <w:rPr>
          <w:rFonts w:ascii="Times New Roman" w:eastAsia="Times New Roman" w:hAnsi="Times New Roman" w:cs="Times New Roman"/>
          <w:i/>
          <w:iCs/>
          <w:sz w:val="24"/>
          <w:szCs w:val="24"/>
        </w:rPr>
        <w:t>Journal of Chromatography A, 1382</w:t>
      </w:r>
      <w:r w:rsidRPr="00B14CCC">
        <w:rPr>
          <w:rFonts w:ascii="Times New Roman" w:eastAsia="Times New Roman" w:hAnsi="Times New Roman" w:cs="Times New Roman"/>
          <w:sz w:val="24"/>
          <w:szCs w:val="24"/>
        </w:rPr>
        <w:t xml:space="preserve">, 136-164. </w:t>
      </w:r>
      <w:hyperlink r:id="rId80" w:history="1">
        <w:r w:rsidRPr="00B14CCC">
          <w:rPr>
            <w:rFonts w:ascii="Times New Roman" w:eastAsia="Times New Roman" w:hAnsi="Times New Roman" w:cs="Times New Roman"/>
            <w:color w:val="0000FF"/>
            <w:sz w:val="24"/>
            <w:szCs w:val="24"/>
            <w:u w:val="single"/>
          </w:rPr>
          <w:t>https://doi.org/10.1016/j.chroma.2014.10.091</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Wong, C. C., Li, H. B., Cheng, K. W., &amp; Chen, F. (2006). A systematic survey of antioxidant activity of 30 Chinese medicinal plants using the ferric reducing antioxidant power assay. </w:t>
      </w:r>
      <w:r w:rsidRPr="00B14CCC">
        <w:rPr>
          <w:rFonts w:ascii="Times New Roman" w:eastAsia="Times New Roman" w:hAnsi="Times New Roman" w:cs="Times New Roman"/>
          <w:i/>
          <w:iCs/>
          <w:sz w:val="24"/>
          <w:szCs w:val="24"/>
        </w:rPr>
        <w:t>Food Chemistry, 97</w:t>
      </w:r>
      <w:r w:rsidRPr="00B14CCC">
        <w:rPr>
          <w:rFonts w:ascii="Times New Roman" w:eastAsia="Times New Roman" w:hAnsi="Times New Roman" w:cs="Times New Roman"/>
          <w:sz w:val="24"/>
          <w:szCs w:val="24"/>
        </w:rPr>
        <w:t xml:space="preserve">(4), 705-711. </w:t>
      </w:r>
      <w:hyperlink r:id="rId81" w:history="1">
        <w:r w:rsidRPr="00B14CCC">
          <w:rPr>
            <w:rFonts w:ascii="Times New Roman" w:eastAsia="Times New Roman" w:hAnsi="Times New Roman" w:cs="Times New Roman"/>
            <w:color w:val="0000FF"/>
            <w:sz w:val="24"/>
            <w:szCs w:val="24"/>
            <w:u w:val="single"/>
          </w:rPr>
          <w:t>https://doi.org/10.1016/j.foodchem.2005.05.049</w:t>
        </w:r>
      </w:hyperlink>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World Health Organization. (1978). </w:t>
      </w:r>
      <w:r w:rsidRPr="00B14CCC">
        <w:rPr>
          <w:rFonts w:ascii="Times New Roman" w:eastAsia="Times New Roman" w:hAnsi="Times New Roman" w:cs="Times New Roman"/>
          <w:i/>
          <w:iCs/>
          <w:sz w:val="24"/>
          <w:szCs w:val="24"/>
        </w:rPr>
        <w:t>Declaration of Alma-Ata: International Conference on Primary Health Care</w:t>
      </w:r>
      <w:r w:rsidRPr="00B14CCC">
        <w:rPr>
          <w:rFonts w:ascii="Times New Roman" w:eastAsia="Times New Roman" w:hAnsi="Times New Roman" w:cs="Times New Roman"/>
          <w:sz w:val="24"/>
          <w:szCs w:val="24"/>
        </w:rPr>
        <w:t>. WHO.</w:t>
      </w:r>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World Health Organization. (2013). </w:t>
      </w:r>
      <w:r w:rsidRPr="00B14CCC">
        <w:rPr>
          <w:rFonts w:ascii="Times New Roman" w:eastAsia="Times New Roman" w:hAnsi="Times New Roman" w:cs="Times New Roman"/>
          <w:i/>
          <w:iCs/>
          <w:sz w:val="24"/>
          <w:szCs w:val="24"/>
        </w:rPr>
        <w:t>WHO traditional medicine strategy 2014-2023</w:t>
      </w:r>
      <w:r w:rsidRPr="00B14CCC">
        <w:rPr>
          <w:rFonts w:ascii="Times New Roman" w:eastAsia="Times New Roman" w:hAnsi="Times New Roman" w:cs="Times New Roman"/>
          <w:sz w:val="24"/>
          <w:szCs w:val="24"/>
        </w:rPr>
        <w:t>. WHO.</w:t>
      </w:r>
    </w:p>
    <w:p w:rsidR="000216FD" w:rsidRPr="00B14CCC" w:rsidRDefault="000216FD" w:rsidP="00B14CCC">
      <w:pPr>
        <w:pStyle w:val="ListParagraph"/>
        <w:numPr>
          <w:ilvl w:val="0"/>
          <w:numId w:val="5"/>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World Health Organization. (2021). </w:t>
      </w:r>
      <w:r w:rsidRPr="00B14CCC">
        <w:rPr>
          <w:rFonts w:ascii="Times New Roman" w:eastAsia="Times New Roman" w:hAnsi="Times New Roman" w:cs="Times New Roman"/>
          <w:i/>
          <w:iCs/>
          <w:sz w:val="24"/>
          <w:szCs w:val="24"/>
        </w:rPr>
        <w:t>World malaria report 2021</w:t>
      </w:r>
      <w:r w:rsidRPr="00B14CCC">
        <w:rPr>
          <w:rFonts w:ascii="Times New Roman" w:eastAsia="Times New Roman" w:hAnsi="Times New Roman" w:cs="Times New Roman"/>
          <w:sz w:val="24"/>
          <w:szCs w:val="24"/>
        </w:rPr>
        <w:t xml:space="preserve">. WHO. </w:t>
      </w:r>
      <w:hyperlink r:id="rId82" w:history="1">
        <w:r w:rsidRPr="00B14CCC">
          <w:rPr>
            <w:rFonts w:ascii="Times New Roman" w:eastAsia="Times New Roman" w:hAnsi="Times New Roman" w:cs="Times New Roman"/>
            <w:color w:val="0000FF"/>
            <w:sz w:val="24"/>
            <w:szCs w:val="24"/>
            <w:u w:val="single"/>
          </w:rPr>
          <w:t>https://www.who.int/publications/i/item/9789240040496</w:t>
        </w:r>
      </w:hyperlink>
    </w:p>
    <w:p w:rsidR="000216FD" w:rsidRPr="00B14CCC" w:rsidRDefault="000216FD" w:rsidP="00B14CCC">
      <w:pPr>
        <w:jc w:val="both"/>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br w:type="page"/>
      </w:r>
    </w:p>
    <w:p w:rsidR="008A40D3" w:rsidRPr="00B14CCC" w:rsidRDefault="008A40D3" w:rsidP="00B14CCC">
      <w:pPr>
        <w:jc w:val="center"/>
        <w:outlineLvl w:val="0"/>
        <w:rPr>
          <w:rFonts w:ascii="Times New Roman" w:eastAsia="Times New Roman" w:hAnsi="Times New Roman" w:cs="Times New Roman"/>
          <w:b/>
          <w:bCs/>
          <w:kern w:val="36"/>
          <w:sz w:val="36"/>
          <w:szCs w:val="24"/>
        </w:rPr>
      </w:pPr>
      <w:r w:rsidRPr="00B14CCC">
        <w:rPr>
          <w:rFonts w:ascii="Times New Roman" w:eastAsia="Times New Roman" w:hAnsi="Times New Roman" w:cs="Times New Roman"/>
          <w:b/>
          <w:bCs/>
          <w:kern w:val="36"/>
          <w:sz w:val="36"/>
          <w:szCs w:val="24"/>
        </w:rPr>
        <w:lastRenderedPageBreak/>
        <w:t>The Role of Indigenous Medicine in Primary Healthcare Delivery: Case Studies from Remote and Underserved Communities</w:t>
      </w:r>
    </w:p>
    <w:p w:rsidR="00B14CCC" w:rsidRDefault="00B14CCC" w:rsidP="00B14CCC">
      <w:pPr>
        <w:spacing w:after="240"/>
        <w:jc w:val="center"/>
        <w:rPr>
          <w:rFonts w:ascii="Times New Roman" w:hAnsi="Times New Roman" w:cs="Times New Roman"/>
          <w:i/>
          <w:sz w:val="24"/>
          <w:szCs w:val="24"/>
        </w:rPr>
      </w:pPr>
      <w:r w:rsidRPr="00F14E7E">
        <w:rPr>
          <w:rFonts w:ascii="Times New Roman" w:hAnsi="Times New Roman" w:cs="Times New Roman"/>
          <w:i/>
          <w:sz w:val="24"/>
          <w:szCs w:val="24"/>
        </w:rPr>
        <w:t xml:space="preserve">Dr. Eric </w:t>
      </w:r>
      <w:proofErr w:type="spellStart"/>
      <w:r w:rsidRPr="00F14E7E">
        <w:rPr>
          <w:rFonts w:ascii="Times New Roman" w:hAnsi="Times New Roman" w:cs="Times New Roman"/>
          <w:i/>
          <w:sz w:val="24"/>
          <w:szCs w:val="24"/>
        </w:rPr>
        <w:t>Kwasi</w:t>
      </w:r>
      <w:proofErr w:type="spellEnd"/>
      <w:r w:rsidRPr="00F14E7E">
        <w:rPr>
          <w:rFonts w:ascii="Times New Roman" w:hAnsi="Times New Roman" w:cs="Times New Roman"/>
          <w:i/>
          <w:sz w:val="24"/>
          <w:szCs w:val="24"/>
        </w:rPr>
        <w:t xml:space="preserve"> </w:t>
      </w:r>
      <w:proofErr w:type="spellStart"/>
      <w:r w:rsidRPr="00F14E7E">
        <w:rPr>
          <w:rFonts w:ascii="Times New Roman" w:hAnsi="Times New Roman" w:cs="Times New Roman"/>
          <w:i/>
          <w:sz w:val="24"/>
          <w:szCs w:val="24"/>
        </w:rPr>
        <w:t>Elliason</w:t>
      </w:r>
      <w:proofErr w:type="spellEnd"/>
      <w:r w:rsidRPr="00F14E7E">
        <w:rPr>
          <w:rFonts w:ascii="Times New Roman" w:hAnsi="Times New Roman" w:cs="Times New Roman"/>
          <w:i/>
          <w:sz w:val="24"/>
          <w:szCs w:val="24"/>
        </w:rPr>
        <w:t>, Post PhD Research Scholar, Kennedy University, St Lucia</w:t>
      </w:r>
    </w:p>
    <w:p w:rsidR="00B14CCC" w:rsidRDefault="00B14CCC" w:rsidP="00B14CCC">
      <w:pPr>
        <w:jc w:val="both"/>
        <w:outlineLvl w:val="1"/>
        <w:rPr>
          <w:rFonts w:ascii="Times New Roman" w:eastAsia="Times New Roman" w:hAnsi="Times New Roman" w:cs="Times New Roman"/>
          <w:b/>
          <w:bCs/>
          <w:sz w:val="24"/>
          <w:szCs w:val="24"/>
        </w:rPr>
      </w:pPr>
    </w:p>
    <w:p w:rsidR="008A40D3" w:rsidRPr="00B14CCC" w:rsidRDefault="008A40D3" w:rsidP="00B14CCC">
      <w:pPr>
        <w:shd w:val="clear" w:color="auto" w:fill="EAF1DD" w:themeFill="accent3" w:themeFillTint="33"/>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Abstract</w:t>
      </w:r>
    </w:p>
    <w:p w:rsidR="008A40D3" w:rsidRPr="00B14CCC" w:rsidRDefault="008A40D3" w:rsidP="00B14CCC">
      <w:pPr>
        <w:shd w:val="clear" w:color="auto" w:fill="EAF1DD" w:themeFill="accent3" w:themeFillTint="33"/>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Indigenous medicine systems represent critical yet underutilized resources in primary healthcare delivery, particularly within remote and underserved communities where conventional medical infrastructure remains inadequate. This research examines the integration of traditional healing practices into formal healthcare frameworks through comprehensive case studies from diverse geographical contexts. Drawing upon evidence from Sub-Saharan Africa, South Asia, Latin America, and Indigenous communities in developed nations, this study demonstrates how indigenous medical knowledge contributes to improved health outcomes, cultural preservation, and sustainable healthcare delivery models. The analysis reveals that communities employing integrated healthcare approaches experience enhanced treatment adherence rates, reduced healthcare costs, and improved management of chronic conditions. Through systematic examination of policy frameworks, practitioner training models, and community health outcomes, this research establishes that indigenous medicine serves not merely as an alternative healthcare option but as an essential component of comprehensive primary care systems. The findings suggest that acknowledging and incorporating traditional medical knowledge into mainstream healthcare can address critical gaps in service delivery while respecting cultural diversity and promoting health equity in marginalized populations.</w:t>
      </w:r>
    </w:p>
    <w:p w:rsidR="008A40D3" w:rsidRPr="00B14CCC" w:rsidRDefault="008A40D3" w:rsidP="00B14CCC">
      <w:pPr>
        <w:shd w:val="clear" w:color="auto" w:fill="EAF1DD" w:themeFill="accent3" w:themeFillTint="33"/>
        <w:jc w:val="both"/>
        <w:rPr>
          <w:rFonts w:ascii="Times New Roman" w:eastAsia="Times New Roman" w:hAnsi="Times New Roman" w:cs="Times New Roman"/>
          <w:sz w:val="24"/>
          <w:szCs w:val="24"/>
        </w:rPr>
      </w:pPr>
      <w:r w:rsidRPr="00B14CCC">
        <w:rPr>
          <w:rFonts w:ascii="Times New Roman" w:eastAsia="Times New Roman" w:hAnsi="Times New Roman" w:cs="Times New Roman"/>
          <w:b/>
          <w:bCs/>
          <w:sz w:val="24"/>
          <w:szCs w:val="24"/>
        </w:rPr>
        <w:t>Keywords:</w:t>
      </w:r>
      <w:r w:rsidRPr="00B14CCC">
        <w:rPr>
          <w:rFonts w:ascii="Times New Roman" w:eastAsia="Times New Roman" w:hAnsi="Times New Roman" w:cs="Times New Roman"/>
          <w:sz w:val="24"/>
          <w:szCs w:val="24"/>
        </w:rPr>
        <w:t xml:space="preserve"> Indigenous medicine, primary healthcare, traditional healing, healthcare integration, underserved communities, medical pluralism</w:t>
      </w:r>
    </w:p>
    <w:p w:rsidR="008A40D3" w:rsidRPr="00B14CCC" w:rsidRDefault="008A40D3"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Introduction</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delivery of primary healthcare in remote and underserved communities continues to present formidable challenges for global health systems, with approximately 400 million people worldwide lacking access to essential health services (World Health Organization, 2019). Within these marginalized populations, indigenous medicine frequently serves as the primary, and often sole, source of healthcare intervention. Indigenous medical systems encompass sophisticated bodies of knowledge accumulated over millennia, incorporating botanical pharmacology, spiritual healing practices, and holistic approaches to wellness that address physical, mental, and social dimensions of health (Tilburt &amp; Kaptchuk, 2008).</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Contemporary healthcare discourse increasingly recognizes that biomedical approaches alone cannot adequately serve diverse populations, particularly in resource-constrained settings where geographical isolation, economic barriers, and cultural disconnection impede access to </w:t>
      </w:r>
      <w:r w:rsidRPr="00B14CCC">
        <w:rPr>
          <w:rFonts w:ascii="Times New Roman" w:eastAsia="Times New Roman" w:hAnsi="Times New Roman" w:cs="Times New Roman"/>
          <w:sz w:val="24"/>
          <w:szCs w:val="24"/>
        </w:rPr>
        <w:lastRenderedPageBreak/>
        <w:t>conventional medical facilities. The World Health Organization estimates that traditional medicine practitioners outnumber allopathic physicians by significant margins in many developing regions, with ratios reaching 1:500 compared to 1:40,000 in some African nations (Abdullahi, 2011). This disparity underscores the pragmatic necessity of engaging with indigenous medical systems rather than attempting to supplant them entirely with Western biomedical models.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integration of indigenous medicine into formal healthcare frameworks represents a paradigm shift from historically dismissive attitudes toward traditional healing practices. Colonial legacies and scientific reductionism previously marginalized indigenous medical knowledge, characterizing it as primitive superstition rather than legitimate therapeutic practice (Broom et al., 2009). However, mounting evidence demonstrates that numerous traditional remedies possess genuine pharmacological efficacy, with approximately 25% of modern pharmaceutical compounds derived from plant sources historically employed in traditional medicine (Fabricant &amp; Farnsworth, 2001). Beyond pharmacological contributions, indigenous medical systems offer culturally appropriate care that resonates with community beliefs, values, and explanatory models of disease, thereby enhancing treatment acceptance and adherence.</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This research investigates the multifaceted role indigenous medicine plays in primary healthcare delivery through detailed case studies from communities confronting significant barriers to conventional medical access. By examining specific implementation models, outcomes, and challenges across diverse geographical and cultural contexts, this study contributes empirical evidence to inform policy development, healthcare planning, and cross-cultural medical practice. The analysis focuses particularly on mechanisms through which traditional and biomedical systems can be synergistically integrated to optimize health outcomes while preserving cultural heritage and promoting community autonomy in healthcare decision-making.</w:t>
      </w:r>
    </w:p>
    <w:p w:rsidR="008A40D3" w:rsidRPr="00B14CCC" w:rsidRDefault="008A40D3"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Theoretical Framework and Conceptual Foundations</w:t>
      </w:r>
    </w:p>
    <w:p w:rsidR="008A40D3" w:rsidRPr="00B14CCC" w:rsidRDefault="008A40D3"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Medical Pluralism and Healthcare Integration</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Medical pluralism, defined as the coexistence of multiple medical systems within a single healthcare environment, characterizes the healthcare landscape of most societies globally, particularly in developing nations and indigenous communities (Cant &amp; Sharma, 1999). This framework acknowledges that individuals navigate between different therapeutic modalities based on factors including illness severity, economic considerations, cultural beliefs, and previous treatment experiences. Rather than viewing indigenous and biomedical systems as incompatible alternatives, the pluralistic perspective recognizes them as complementary components of a comprehensive healthcare ecosystem.</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concept of integrative medicine extends beyond mere coexistence, advocating for deliberate coordination between traditional and conventional therapeutic approaches (Maizes et al., 2009). Successful integration requires institutional mechanisms that facilitate communication between practitioners of different medical traditions, establish protocols for </w:t>
      </w:r>
      <w:r w:rsidRPr="00B14CCC">
        <w:rPr>
          <w:rFonts w:ascii="Times New Roman" w:eastAsia="Times New Roman" w:hAnsi="Times New Roman" w:cs="Times New Roman"/>
          <w:sz w:val="24"/>
          <w:szCs w:val="24"/>
        </w:rPr>
        <w:lastRenderedPageBreak/>
        <w:t>referral and collaborative care, and create regulatory frameworks ensuring safety and quality standards across therapeutic modalities. Evidence suggests that integrative models can leverage the respective strengths of indigenous and biomedical systems while mitigating their individual limitations, particularly in managing chronic diseases, mental health conditions, and culturally specific syndromes that resist purely biomedical intervention (Hollenberg &amp; Muzzin, 2010).</w:t>
      </w:r>
    </w:p>
    <w:p w:rsidR="008A40D3" w:rsidRPr="00B14CCC" w:rsidRDefault="008A40D3"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Primary Healthcare and the Alma-Ata Declaration</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1978 Alma-Ata Declaration established primary healthcare as the foundational strategy for achieving health equity globally, emphasizing accessibility, community participation, and intersectoral collaboration (World Health Organization, 1978). This landmark document explicitly acknowledged the role of traditional medical practitioners in primary healthcare delivery, recognizing that community health workers and traditional healers often constitute the most accessible healthcare providers in underserved areas. The declaration's emphasis on culturally acceptable healthcare implicitly validated indigenous medical approaches that align with community beliefs and preferences.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Contemporary interpretations of primary healthcare increasingly emphasize the social determinants of health, recognizing that medical interventions alone cannot address the complex interplay of factors influencing health outcomes in marginalized communities (Marmot et al., 2008). Indigenous medical systems inherently adopt holistic perspectives that consider spiritual, environmental, and social dimensions of wellness, positioning them as naturally aligned with comprehensive primary healthcare approaches. Traditional healers frequently serve multiple roles within their communities, functioning not only as healthcare providers but also as spiritual advisors, conflict mediators, and repositories of cultural knowledge, thereby addressing social determinants of health through their multifaceted community engagement.</w:t>
      </w:r>
    </w:p>
    <w:p w:rsidR="008A40D3" w:rsidRPr="00B14CCC" w:rsidRDefault="008A40D3"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Indigenous Knowledge Systems and Epistemological Considerations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Indigenous medical knowledge represents sophisticated epistemological systems developed through systematic observation, experimentation, and intergenerational transmission over extended timeframes (Battiste &amp; Henderson, 2000). These knowledge systems employ different methodological approaches than Western scientific inquiry, emphasizing experiential learning, spiritual dimensions of healing, and relational understandings of health and disease. Critical scholarship challenges the historical devaluation of indigenous epistemologies, arguing that multiple valid pathways to knowledge exist and that dismissing traditional medical knowledge reflects cultural bias rather than objective assessment of therapeutic efficacy (Smith, 2012).</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tension between indigenous and biomedical knowledge systems extends beyond clinical practice to encompass broader questions of intellectual property, cultural appropriation, and biopiracy. Pharmaceutical companies have historically extracted valuable compounds from traditional pharmacopeias without appropriate compensation or acknowledgment of source communities, raising ethical concerns about exploitation and the commodification of </w:t>
      </w:r>
      <w:r w:rsidRPr="00B14CCC">
        <w:rPr>
          <w:rFonts w:ascii="Times New Roman" w:eastAsia="Times New Roman" w:hAnsi="Times New Roman" w:cs="Times New Roman"/>
          <w:sz w:val="24"/>
          <w:szCs w:val="24"/>
        </w:rPr>
        <w:lastRenderedPageBreak/>
        <w:t>indigenous knowledge (Robinson, 2010). Ethical integration of indigenous medicine into formal healthcare systems requires frameworks that respect community ownership of traditional knowledge, ensure equitable benefit-sharing, and preserve the cultural contexts within which healing practices derive meaning and efficacy.</w:t>
      </w:r>
    </w:p>
    <w:p w:rsidR="008A40D3" w:rsidRPr="00B14CCC" w:rsidRDefault="008A40D3"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Methodology</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This research employs a qualitative case study methodology to examine the role of indigenous medicine in primary healthcare delivery across diverse geographical and cultural contexts. The case study approach enables in-depth exploration of complex phenomena within real-world settings, particularly appropriate for investigating healthcare integration processes that vary substantially based on local contexts, policy environments, and community characteristics (Yin, 2018). Multiple case studies facilitate cross-case analysis to identify patterns, common challenges, and transferable principles while preserving the contextual richness essential for understanding culturally embedded healthcare practices.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Case selection employed purposive sampling to ensure representation across different geographical regions, indigenous medical traditions, and integration models. Selection criteria prioritized communities characterized by significant reliance on indigenous medicine due to limited access to conventional healthcare infrastructure, documented efforts to integrate traditional and biomedical approaches, and availability of published research or documented program evaluations. The selected cases encompass communities from Sub-Saharan Africa, South Asia, Latin America, and indigenous populations in developed nations, providing comparative insights across varied healthcare systems and development contexts.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Data collection synthesized information from peer-reviewed academic literature, governmental and non-governmental organization reports, policy documents, and published program evaluations. This approach enabled comprehensive analysis despite the practical constraints of conducting direct fieldwork across multiple international sites. Each case study examined healthcare delivery models, practitioner training and regulation, patient utilization patterns, documented health outcomes, and challenges encountered in integration efforts. Particular attention focused on identifying mechanisms through which indigenous medicine contributed to primary healthcare objectives including accessibility, affordability, cultural acceptability, and health outcomes.</w:t>
      </w:r>
    </w:p>
    <w:p w:rsidR="008A40D3"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Analytical procedures followed thematic analysis principles, systematically coding data to identify recurring themes, patterns, and relationships across cases (Braun &amp; Clarke, 2006). The analysis examined both within-case dynamics and cross-case comparisons to develop theoretical insights regarding factors facilitating or hindering successful integration of indigenous medicine into primary healthcare systems. Validity was enhanced through triangulation of multiple data sources, systematic comparison across cases, and attention to contradictory evidence that might challenge emerging interpretations.</w:t>
      </w:r>
    </w:p>
    <w:p w:rsidR="00B14CCC" w:rsidRDefault="00B14CCC" w:rsidP="00B14CCC">
      <w:pPr>
        <w:jc w:val="both"/>
        <w:rPr>
          <w:rFonts w:ascii="Times New Roman" w:eastAsia="Times New Roman" w:hAnsi="Times New Roman" w:cs="Times New Roman"/>
          <w:sz w:val="24"/>
          <w:szCs w:val="24"/>
        </w:rPr>
      </w:pPr>
    </w:p>
    <w:p w:rsidR="00B14CCC" w:rsidRPr="00B14CCC" w:rsidRDefault="00B14CCC" w:rsidP="00B14CCC">
      <w:pPr>
        <w:jc w:val="both"/>
        <w:rPr>
          <w:rFonts w:ascii="Times New Roman" w:eastAsia="Times New Roman" w:hAnsi="Times New Roman" w:cs="Times New Roman"/>
          <w:sz w:val="24"/>
          <w:szCs w:val="24"/>
        </w:rPr>
      </w:pPr>
    </w:p>
    <w:p w:rsidR="008A40D3" w:rsidRPr="00B14CCC" w:rsidRDefault="008A40D3"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lastRenderedPageBreak/>
        <w:t>Case Study 1: Traditional Medicine Integration in Ghana's Primary Healthcare System</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Ghana presents a compelling example of deliberate policy-level integration of traditional medicine into the national healthcare framework, driven by both pragmatic necessity and cultural recognition. With approximately 70% of the Ghanaian population relying primarily on traditional medicine for healthcare needs, and traditional medical practitioners outnumbering biomedical doctors by ratios exceeding 200:1 in rural areas, the Ghanaian government recognized that expanding healthcare access required engaging traditional healers rather than marginalizing them (Gyasi et al., 2011).</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establishment of the Traditional Medicine Practice Council in 2000 under Ghana's Traditional Medicine Practice Act created a regulatory framework for training, licensing, and oversight of traditional medical practitioners. This institutional structure represents a significant departure from colonial-era policies that criminalized traditional healing, instead positioning indigenous medicine as a legitimate component of the national healthcare system (Ameade &amp; Garti, 2016). The regulatory framework established standards for herbal medicine preparation, practitioner conduct, and record-keeping while respecting the cultural and spiritual dimensions of traditional healing practices.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Integration initiatives in Ghana encompass multiple components including collaborative research programs investigating the efficacy and safety of traditional remedies, establishment of herbal medicine departments in teaching hospitals, and development of training curricula that expose biomedical practitioners to traditional healing concepts. The Kwame Nkrumah University of Science and Technology established a dedicated Faculty of Pharmacy and Pharmaceutical Sciences with specialized programs in herbal medicine, combining traditional knowledge with pharmaceutical science methodologies (Amoah et al., 2014). These educational initiatives aim to bridge epistemological divides between traditional and biomedical approaches while ensuring rigorous quality standards for herbal preparations.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Healthcare delivery models in rural Ghanaian communities demonstrate practical integration where traditional healers and community health workers collaborate through referral networks. Traditional practitioners receive training in recognizing conditions requiring biomedical intervention, particularly emergency obstetric complications, infectious diseases, and acute injuries, enabling appropriate referrals to health facilities (Mbweza et al., 2008). Conversely, biomedical practitioners receive education regarding commonly used herbal remedies to identify potential herb-drug interactions and respect patients' preferences for combined therapeutic approaches. This bidirectional knowledge exchange enhances safety while acknowledging that most patients utilize both medical systems concurrently.</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Economic considerations significantly influence healthcare-seeking behavior in resource-constrained Ghanaian communities, where traditional medicine often provides more affordable alternatives than biomedical care requiring transportation costs, facility fees, and pharmaceutical expenses. Studies document that financial accessibility constitutes a primary factor driving traditional medicine utilization, with households experiencing economic hardship demonstrating higher reliance on indigenous remedies (Agyei-Baffour et al., 2013). </w:t>
      </w:r>
      <w:r w:rsidRPr="00B14CCC">
        <w:rPr>
          <w:rFonts w:ascii="Times New Roman" w:eastAsia="Times New Roman" w:hAnsi="Times New Roman" w:cs="Times New Roman"/>
          <w:sz w:val="24"/>
          <w:szCs w:val="24"/>
        </w:rPr>
        <w:lastRenderedPageBreak/>
        <w:t>The integration of traditional medicine into primary healthcare thus addresses equity concerns by legitimizing affordable healthcare options already accessed by economically marginalized populations.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Challenges persist despite policy-level commitment to integration, including insufficient funding for traditional medicine research, limited standardization of herbal preparations, and ongoing skepticism from some biomedical practitioners regarding traditional healing efficacy. Quality control concerns arise particularly regarding herbal medicines sold in markets without regulatory oversight, potentially containing adulterants, incorrect dosages, or harmful substances (Ekor, 2014). The informal nature of traditional medicine training, typically occurring through apprenticeship rather than formalized curricula, complicates efforts to establish uniform competency standards comparable to biomedical education. These challenges underscore the complexity of integrating knowledge systems with fundamentally different epistemological foundations and institutional structures.</w:t>
      </w:r>
    </w:p>
    <w:p w:rsidR="008A40D3" w:rsidRPr="00B14CCC" w:rsidRDefault="008A40D3"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Case Study 2: Ayurveda and Primary Healthcare in Rural India</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India's healthcare landscape exemplifies extensive medical pluralism, with Ayurveda, Unani, Siddha, and other indigenous medical systems formally recognized alongside biomedicine through the AYUSH (Ayurveda, Yoga and Naturopathy, Unani, Siddha, and Homeopathy) system. The Indian government established the Ministry of AYUSH in 2014, elevating traditional medicine systems to ministerial-level priority and allocating substantial resources for research, education, and healthcare delivery (Ministry of AYUSH, 2016). This institutional framework represents perhaps the most comprehensive governmental integration of indigenous medicine globally, supported by extensive educational infrastructure including dedicated AYUSH universities and research institutions.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Ayurvedic medicine, rooted in ancient Sanskrit texts and emphasizing constitutional typology, dietary therapy, herbal preparations, and lifestyle modifications, constitutes the most widely practiced indigenous medical system in India. The integration of Ayurveda into primary healthcare proceeds through multiple pathways including standalone AYUSH dispensaries in rural areas, co-location of AYUSH and allopathic services in primary health centers, and cross-referral arrangements between practitioners (Jaiswal &amp; Williams, 2017). In regions with severe shortages of allopathic physicians, AYUSH practitioners frequently serve as the primary medical providers, particularly for chronic conditions including diabetes, arthritis, and digestive disorders.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Evidence regarding clinical efficacy of Ayurvedic interventions demonstrates mixed but increasingly rigorous findings. Systematic reviews identify promising outcomes for Ayurvedic management of conditions including osteoarthritis, where herbal formulations demonstrate efficacy comparable to conventional non-steroidal anti-inflammatory drugs with potentially fewer adverse effects (Chopra et al., 2013). The holistic diagnostic approach in Ayurveda, emphasizing prevention and lifestyle modification rather than symptom suppression, aligns conceptually with primary healthcare principles of comprehensive, </w:t>
      </w:r>
      <w:r w:rsidRPr="00B14CCC">
        <w:rPr>
          <w:rFonts w:ascii="Times New Roman" w:eastAsia="Times New Roman" w:hAnsi="Times New Roman" w:cs="Times New Roman"/>
          <w:sz w:val="24"/>
          <w:szCs w:val="24"/>
        </w:rPr>
        <w:lastRenderedPageBreak/>
        <w:t>continuous care addressing underlying determinants of health rather than isolated disease episodes.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Rural health statistics reveal that AYUSH practitioners deliver substantial proportions of primary healthcare in underserved areas where allopathic infrastructure remains inadequate. Studies estimate that AYUSH doctors constitute approximately 30% of all registered medical practitioners in India, with significantly higher proportions in rural districts (Mukherjee &amp; Wahile, 2006). The presence of AYUSH facilities correlates with improved healthcare accessibility metrics including reduced travel distances to health facilities and increased utilization of preventive services, particularly among economically disadvantaged populations for whom AYUSH services provide more affordable options than private allopathic care.</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Integration challenges in India's context include concerns regarding variable educational standards across AYUSH institutions, limited evidence base for numerous traditional formulations, and instances of inappropriate cross-practice where practitioners trained exclusively in traditional systems provide allopathic medications without adequate training (Bode, 2008). Legal frameworks permit AYUSH practitioners to practice surgery and prescribe allopathic drugs in certain contexts, raising quality and safety concerns among allopathic medical associations. These tensions reflect broader struggles to define appropriate scopes of practice within pluralistic healthcare systems where distinct medical traditions coexist but employ fundamentally different diagnostic and therapeutic frameworks.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Indian experience demonstrates that formal institutional recognition and resource allocation for indigenous medicine can substantially enhance primary healthcare delivery in underserved areas. However, integration success depends critically on maintaining therapeutic quality </w:t>
      </w:r>
      <w:proofErr w:type="gramStart"/>
      <w:r w:rsidRPr="00B14CCC">
        <w:rPr>
          <w:rFonts w:ascii="Times New Roman" w:eastAsia="Times New Roman" w:hAnsi="Times New Roman" w:cs="Times New Roman"/>
          <w:sz w:val="24"/>
          <w:szCs w:val="24"/>
        </w:rPr>
        <w:t>standards,</w:t>
      </w:r>
      <w:proofErr w:type="gramEnd"/>
      <w:r w:rsidRPr="00B14CCC">
        <w:rPr>
          <w:rFonts w:ascii="Times New Roman" w:eastAsia="Times New Roman" w:hAnsi="Times New Roman" w:cs="Times New Roman"/>
          <w:sz w:val="24"/>
          <w:szCs w:val="24"/>
        </w:rPr>
        <w:t xml:space="preserve"> ensuring practitioners possess adequate training for their scope of practice, and developing evidence bases that satisfy both traditional epistemological frameworks and contemporary standards for evaluating therapeutic efficacy. The evolution of India's integrated healthcare system continues to inform global discussions regarding optimal models for incorporating traditional medicine into national health systems.</w:t>
      </w:r>
    </w:p>
    <w:p w:rsidR="008A40D3" w:rsidRPr="00B14CCC" w:rsidRDefault="008A40D3"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Case Study 3: Traditional Healing and Mental Health in Aboriginal Communities of Australia</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Indigenous Australian communities experience mental health burdens substantially exceeding national averages, with suicide rates among Aboriginal and Torres Strait Islander peoples approximately twice those of non-Indigenous Australians (Australian Institute of Health and Welfare, 2018). Cultural disruption stemming from colonization, forced removals, and ongoing marginalization contributes significantly to psychological distress, intergenerational trauma, and substance abuse within these communities. In this context, traditional healing practices rooted in connection to country, cultural identity, and spiritual wellbeing play critical roles in mental health recovery and resilience.</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Traditional Aboriginal healing approaches emphasize holistic concepts of wellbeing encompassing physical, emotional, social, spiritual, and cultural dimensions rather than the </w:t>
      </w:r>
      <w:r w:rsidRPr="00B14CCC">
        <w:rPr>
          <w:rFonts w:ascii="Times New Roman" w:eastAsia="Times New Roman" w:hAnsi="Times New Roman" w:cs="Times New Roman"/>
          <w:sz w:val="24"/>
          <w:szCs w:val="24"/>
        </w:rPr>
        <w:lastRenderedPageBreak/>
        <w:t>symptom-focused mental illness categories characteristic of Western psychiatry (Isaacs et al., 2016). Healing practices incorporate connection to land and ancestral territories, participation in cultural ceremonies, storytelling, and guidance from respected Elders who serve as cultural authorities and healing facilitators. These practices address the cultural determinants of mental health by strengthening cultural identity, restoring disrupted connections to heritage, and providing meaning-making frameworks rooted in Indigenous worldviews.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Integration initiatives in Aboriginal communities increasingly recognize cultural healing as essential complement to clinical mental health services. Programs such as the Aboriginal and Islander Mental Health Initiative incorporate traditional healers alongside psychiatrists, psychologists, and psychiatric nurses in multidisciplinary treatment teams (Vicary &amp; Westerman, 2004). This collaborative model acknowledges that Aboriginal people may conceptualize mental distress in cultural terms not captured by Western diagnostic categories, requiring healing approaches that address spiritual imbalances, cultural disconnection, and social disruption rather than focusing exclusively on individual psychopathology.</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Evidence regarding outcomes of culturally grounded healing programs demonstrates promising results. The Kimberley Aboriginal Medical Services Council's emotional and social wellbeing programs, which integrate traditional healing practices with contemporary therapeutic approaches, report improvements in psychological distress measures, reduced substance use, and enhanced community connectedness among participants (Haswell-Elkins et al., 2009). Critical to these outcomes is the centering of Aboriginal epistemologies and healing practices as primary therapeutic modalities rather than superficial cultural adaptations of Western interventions. Programs designed and delivered by Aboriginal people according to Aboriginal healing traditions demonstrate superior engagement and outcomes compared to conventional mental health services alone.</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Aboriginal concept of "social and emotional wellbeing" has influenced policy frameworks, displacing the narrower "mental health" terminology to reflect Indigenous holistic understandings of wellness (Gee et al., 2014). This conceptual shift represents significant progress in decolonizing mental health approaches and acknowledging the legitimacy of Indigenous knowledge systems in defining health, illness, and healing. Policy documents increasingly emphasize self-determination, cultural safety, and Aboriginal community control over health services as prerequisites for effective mental healthcare delivery.</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Challenges in integrating traditional healing into formal mental health systems include limited funding for cultural healing programs, difficulties translating Aboriginal healing concepts into accountability frameworks designed for Western clinical services, and ongoing colonization within health systems that privilege biomedical knowledge over Indigenous epistemologies (Kirmayer et al., 2011). Traditional healers frequently operate on voluntary bases or with minimal remuneration, contrasting sharply with compensation structures for credentialed mental health professionals. This disparity reflects persistent undervaluation of Indigenous expertise despite demonstrated therapeutic efficacy and community preference for culturally grounded healing approaches.</w:t>
      </w:r>
    </w:p>
    <w:p w:rsidR="008A40D3" w:rsidRPr="00B14CCC" w:rsidRDefault="008A40D3"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lastRenderedPageBreak/>
        <w:t>Case Study 4: Andean Traditional Medicine and Maternal Health in Peru</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Rural highland regions of Peru experience maternal mortality rates substantially exceeding national averages, with geographical isolation, limited transportation infrastructure, and shortage of health facilities contributing to poor maternal health outcomes (Ministerio de Salud del Perú, 2018). Within these communities, traditional birth attendants, known locally as </w:t>
      </w:r>
      <w:r w:rsidRPr="00B14CCC">
        <w:rPr>
          <w:rFonts w:ascii="Times New Roman" w:eastAsia="Times New Roman" w:hAnsi="Times New Roman" w:cs="Times New Roman"/>
          <w:i/>
          <w:iCs/>
          <w:sz w:val="24"/>
          <w:szCs w:val="24"/>
        </w:rPr>
        <w:t>parteras</w:t>
      </w:r>
      <w:r w:rsidRPr="00B14CCC">
        <w:rPr>
          <w:rFonts w:ascii="Times New Roman" w:eastAsia="Times New Roman" w:hAnsi="Times New Roman" w:cs="Times New Roman"/>
          <w:sz w:val="24"/>
          <w:szCs w:val="24"/>
        </w:rPr>
        <w:t>, provide the majority of prenatal, childbirth, and postpartum care, drawing upon indigenous Andean medical knowledge transmitted intergenerationally through apprenticeship and direct experience.</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Andean traditional medicine conceptualizes pregnancy and childbirth as natural processes requiring support rather than medical intervention, contrasting with increasingly medicalized approaches in facility-based obstetric care. Traditional birth attendants employ herbal remedies to address pregnancy discomforts, utilize massage techniques to optimize fetal positioning, and create culturally appropriate birthing environments that accommodate indigenous preferences regarding birth positions, family presence, and ritual practices (Medeiros &amp; Faresin, 2019). The relational care model characteristic of </w:t>
      </w:r>
      <w:r w:rsidRPr="00B14CCC">
        <w:rPr>
          <w:rFonts w:ascii="Times New Roman" w:eastAsia="Times New Roman" w:hAnsi="Times New Roman" w:cs="Times New Roman"/>
          <w:i/>
          <w:iCs/>
          <w:sz w:val="24"/>
          <w:szCs w:val="24"/>
        </w:rPr>
        <w:t>partera</w:t>
      </w:r>
      <w:r w:rsidRPr="00B14CCC">
        <w:rPr>
          <w:rFonts w:ascii="Times New Roman" w:eastAsia="Times New Roman" w:hAnsi="Times New Roman" w:cs="Times New Roman"/>
          <w:sz w:val="24"/>
          <w:szCs w:val="24"/>
        </w:rPr>
        <w:t xml:space="preserve"> practice, involving continuous relationship-building throughout pregnancy rather than episodic clinical encounters, aligns closely with evidence-based recommendations for improving maternal outcomes through continuity of care.</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Peru's National Plan for Strengthening Intercultural Health Actions incorporates traditional birth attendants into the formal maternal health system through training programs addressing recognition of obstetric complications, referral protocols for high-risk pregnancies, and basic infection prevention measures (Tehán Huaylinos, 2017). These capacity-building initiatives aim to enhance safety while respecting traditional practices, rather than attempting to eliminate indigenous birthing practices in favor of universal facility-based delivery. Trained </w:t>
      </w:r>
      <w:r w:rsidRPr="00B14CCC">
        <w:rPr>
          <w:rFonts w:ascii="Times New Roman" w:eastAsia="Times New Roman" w:hAnsi="Times New Roman" w:cs="Times New Roman"/>
          <w:i/>
          <w:iCs/>
          <w:sz w:val="24"/>
          <w:szCs w:val="24"/>
        </w:rPr>
        <w:t>parteras</w:t>
      </w:r>
      <w:r w:rsidRPr="00B14CCC">
        <w:rPr>
          <w:rFonts w:ascii="Times New Roman" w:eastAsia="Times New Roman" w:hAnsi="Times New Roman" w:cs="Times New Roman"/>
          <w:sz w:val="24"/>
          <w:szCs w:val="24"/>
        </w:rPr>
        <w:t xml:space="preserve"> receive official recognition, integration into community health networks, and access to essential supplies including clean delivery kits, improving hygiene without fundamentally altering traditional care approaches.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Evidence regarding outcomes of integrated maternal health programs demonstrates improvements in multiple indicators. Communities with trained traditional birth attendants demonstrate increased rates of prenatal care utilization, earlier detection of complications, and appropriate facility referral for high-risk cases compared to communities lacking such integration (Gabrysch et al., 2009). Critically, integration programs reduce maternal deaths by enabling traditional birth attendants to identify danger signs warranting biomedical intervention while continuing to provide culturally appropriate care for normal pregnancies and births. This model respects women's preferences for traditional care while creating safety nets for obstetric emergencies.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Cultural factors significantly influence maternal health-seeking behavior in Andean communities, with facility-based care often perceived as culturally alienating, disrespectful of indigenous practices, and linguistically inaccessible for Quechua-speaking women (Frisancho et al., 2015). Health facilities historically prohibited family presence during labor, required </w:t>
      </w:r>
      <w:r w:rsidRPr="00B14CCC">
        <w:rPr>
          <w:rFonts w:ascii="Times New Roman" w:eastAsia="Times New Roman" w:hAnsi="Times New Roman" w:cs="Times New Roman"/>
          <w:sz w:val="24"/>
          <w:szCs w:val="24"/>
        </w:rPr>
        <w:lastRenderedPageBreak/>
        <w:t>supine birthing positions contrary to traditional upright positions, and dismissed spiritual practices important to indigenous birthing culture. Discrimination and mistreatment of indigenous women within healthcare facilities further deterred facility-based care, even for complicated pregnancies where biomedical intervention could prevent maternal death. Integration programs addressing these cultural barriers through training healthcare workers in culturally sensitive care and modifying facility protocols to accommodate indigenous preferences have improved facility acceptance and utilization.</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Challenges include ensuring adequate training quality for traditional birth attendants, establishing sustainable funding mechanisms for integration programs, and addressing jurisdictional tensions between biomedical obstetric providers and traditional attendants. Concerns regarding scope of practice arise when traditional attendants manage complicated deliveries beyond their training level, potentially delaying necessary referrals. However, evidence suggests that trained traditional birth attendants demonstrate appropriate referral behavior when integrated into health systems with accessible referral facilities and functional transportation networks (Sibley et al., 2012). The Peruvian experience demonstrates that respecting and integrating indigenous birthing practices, rather than attempting to eliminate them, can improve maternal health outcomes in communities where cultural factors significantly influence healthcare utilization.</w:t>
      </w:r>
    </w:p>
    <w:p w:rsidR="008A40D3" w:rsidRPr="00B14CCC" w:rsidRDefault="008A40D3"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Analysis of Integration Models and Success Factors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Comparative analysis across case studies reveals several critical factors influencing successful integration of indigenous medicine into primary healthcare systems. First, formal governmental recognition and institutional support prove essential for legitimizing traditional healing practices, creating regulatory frameworks, and allocating resources for integration initiatives. Countries with ministerial-level structures dedicated to traditional medicine, such as India's AYUSH ministry and Ghana's Traditional Medicine Practice Council, demonstrate more comprehensive integration than contexts where traditional medicine remains informal and marginalized.</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Second, collaborative practice models that respect the distinct contributions of traditional and biomedical approaches while facilitating appropriate referrals demonstrate superior outcomes compared to competitive or dismissive approaches. Healthcare systems function most effectively when traditional practitioners receive training in recognizing conditions requiring biomedical intervention, and biomedical practitioners develop cultural competence regarding traditional healing practices and patient preferences for combined therapeutic approaches. This bidirectional knowledge exchange enhances safety, reduces conflicts, and optimizes utilization of both medical systems according to their respective strengths.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Third, community participation and control over health service design and delivery emerge as critical determinants of integration success, particularly in indigenous communities with histories of colonial disruption and marginalization. Programs designed and delivered by community members according to indigenous epistemologies and cultural protocols demonstrate superior engagement and outcomes compared to externally imposed </w:t>
      </w:r>
      <w:r w:rsidRPr="00B14CCC">
        <w:rPr>
          <w:rFonts w:ascii="Times New Roman" w:eastAsia="Times New Roman" w:hAnsi="Times New Roman" w:cs="Times New Roman"/>
          <w:sz w:val="24"/>
          <w:szCs w:val="24"/>
        </w:rPr>
        <w:lastRenderedPageBreak/>
        <w:t>interventions. The principle of self-determination in healthcare recognizes that communities possess expertise regarding their own health needs, cultural values, and appropriate healing modalities that external experts cannot adequately substitute.</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Fourth, addressing the social determinants of health proves essential for improving health outcomes in underserved communities, with indigenous medicine systems often naturally incorporating attention to economic, environmental, and social factors influencing wellness. The holistic orientation characteristic of many traditional medical systems aligns with contemporary recognition that medical interventions alone cannot address health inequities rooted in poverty, marginalization, and structural violence. Integration models that leverage traditional healers' multifaceted community roles can address health determinants beyond purely clinical dimensions.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Fifth, quality assurance and safety considerations require attention without imposing biomedical standards inappropriate for traditional healing contexts. Regulatory frameworks must balance ensuring therapeutic safety with respecting epistemological diversity and avoiding regulatory burdens that effectively eliminate traditional practices. Approaches emphasizing traditional medicine self-regulation through practitioner associations, combined with targeted interventions addressing specific safety concerns such as herb-drug interactions and herbal product contamination, appear more feasible than comprehensive regulation modeled on pharmaceutical and biomedical frameworks.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Finally, sustainable financing mechanisms prove essential for maintaining integration programs beyond pilot project phases. Traditional healers frequently operate with minimal or no formal compensation, raising equity concerns and potentially limiting practitioner availability. Integration models must develop sustainable approaches to compensating traditional practitioners, funding research and training, and ensuring quality herbal medicines without imposing cost barriers that eliminate affordability advantages currently making traditional medicine accessible to economically marginalized populations.</w:t>
      </w:r>
    </w:p>
    <w:p w:rsidR="008A40D3" w:rsidRPr="00B14CCC" w:rsidRDefault="008A40D3"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Challenges and Limitations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Integration of indigenous medicine into formal healthcare systems confronts numerous challenges that complicate straightforward implementation. Epistemological differences between traditional and biomedical knowledge systems create fundamental tensions regarding what constitutes legitimate knowledge, valid evidence, and appropriate therapeutic practice. Western scientific methodology emphasizes reductionist approaches, controlled experiments, and quantifiable outcomes, while traditional medicine systems often resist such reductionism, emphasizing holistic effects, individual variation, and experiential knowledge that may not conform to standardized clinical trial methodologies (Tilburt &amp; Kaptchuk, 2008).</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Evidence generation poses particular challenges, as applying conventional clinical trial methodology to traditional medicine interventions may inadequately capture their therapeutic effects. Traditional healing practices often involve complex, individualized interventions combining multiple herbal preparations, dietary modifications, spiritual practices, and </w:t>
      </w:r>
      <w:r w:rsidRPr="00B14CCC">
        <w:rPr>
          <w:rFonts w:ascii="Times New Roman" w:eastAsia="Times New Roman" w:hAnsi="Times New Roman" w:cs="Times New Roman"/>
          <w:sz w:val="24"/>
          <w:szCs w:val="24"/>
        </w:rPr>
        <w:lastRenderedPageBreak/>
        <w:t>therapeutic relationships that resist standardization required for rigorous clinical trials. Additionally, reductionist approaches examining isolated compounds extracted from traditional pharmacopeias may fail to capture synergistic effects of whole-plant preparations or miss therapeutic mechanisms operating through pathways not measured by conventional biomarkers (Patwardhan et al., 2004).</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Quality control and standardization concerns arise particularly regarding herbal medicines, which vary in composition based on plant growing conditions, harvesting methods, preparation techniques, and storage conditions. Unlike pharmaceutical compounds with precisely defined chemical structures and dosages, herbal preparations contain numerous bioactive constituents in varying proportions, complicating standardization efforts. Heavy metal contamination, microbial contamination, and adulteration represent legitimate safety concerns, particularly for herbal products manufactured outside regulatory oversight (Ekor, 2014). However, overly stringent regulatory requirements may eliminate traditional herbal preparations that communities have utilized safely for generations but lack resources to meet pharmaceutical-grade manufacturing standards.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Intellectual property and benefit-sharing issues create ethical dilemmas regarding traditional knowledge utilization. The pharmaceutical industry's history of extracting compounds from indigenous pharmacopeias without compensation or acknowledgment raises concerns about biopiracy and exploitation. International frameworks including the Nagoya Protocol on Access and Benefit-Sharing establish principles for equitable benefit-sharing when utilizing genetic resources and associated traditional knowledge, but implementation challenges persist (Robinson, 2010). Commercialization of traditional medicines risks commodifying cultural heritage and spiritual practices, potentially distorting traditional knowledge transmission and disrupting community-based healing traditions.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Professional tensions between traditional practitioners and biomedical healthcare providers complicate collaborative practice. Biomedical practitioners may dismiss traditional healing as unscientific superstition, while traditional healers may resist external oversight and training perceived as undermining their authority and traditional knowledge. Scope of practice disputes arise when practitioners cross-train or practice elements of both medical traditions, raising questions regarding competency boundaries and appropriate credentialing. Hierarchical dynamics within health systems that privilege biomedical knowledge and practitioner status over traditional healing can undermine genuine partnership and perpetuate marginalization of indigenous medical systems.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Implementation challenges include limited funding for traditional medicine research and programs, inadequate numbers of trained personnel to support integration initiatives, and weak health system infrastructure in remote areas that impedes both biomedical and traditional healthcare delivery. Integration programs require sustained investment rather than temporary pilot projects to achieve institutional change and demonstrate long-term outcomes. Political will and policy continuity prove essential, as changes in government leadership can eliminate traditional medicine programs lacking deep institutional embedding and broad political support.</w:t>
      </w:r>
    </w:p>
    <w:p w:rsidR="008A40D3" w:rsidRPr="00B14CCC" w:rsidRDefault="008A40D3"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lastRenderedPageBreak/>
        <w:t>Policy Implications and Recommendations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Evidence from case studies and comparative analysis suggests several policy directions for optimizing indigenous medicine integration into primary healthcare systems. First, governments should establish formal recognition and institutional structures for traditional medicine, creating ministerial-level agencies with mandates for policy development, regulation, research, and integration program implementation. This institutional infrastructure legitimizes traditional healing, creates accountability mechanisms, and facilitates resource allocation for integration initiatives.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Second, regulatory frameworks should emphasize safety and quality without imposing standards that effectively eliminate traditional practices or create insurmountable barriers for traditional practitioners and herbal product manufacturers. Risk-proportionate regulation recognizing differences between traditional and pharmaceutical medicines can address specific safety concerns while preserving accessibility and cultural appropriateness. Regulatory approaches should incorporate traditional medicine practitioners in framework development, ensuring regulations reflect practice realities and respect indigenous epistemologies.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Third, educational systems should develop training curricula that expose biomedical and traditional medicine practitioners to each other's knowledge systems, therapeutic modalities, and cultural perspectives. Medical and nursing education should incorporate cultural safety training and basic traditional medicine awareness, preparing biomedical practitioners to work respectfully in pluralistic healthcare environments. Simultaneously, traditional practitioners should receive training in basic biomedical concepts, particularly danger sign recognition and appropriate referral protocols, without requiring full biomedical credentialing that would eliminate their traditional practice identity.</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Fourth, healthcare delivery models should facilitate collaborative practice through co-location of services, establishment of referral networks, and creation of multidisciplinary teams incorporating both traditional and biomedical practitioners. Integration succeeds when both medical traditions contribute according to their respective strengths rather than competing for exclusive legitimacy. Health facilities should accommodate traditional healing practices by modifying protocols to respect cultural preferences regarding family presence, spiritual practices, birthing positions, and other culturally significant elements of care.</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Fifth, research funding should prioritize investigation of traditional medicine safety, efficacy, and mechanisms of action, utilizing methodologies appropriate for complex, holistic interventions. Research agendas should be developed collaboratively with traditional medicine </w:t>
      </w:r>
      <w:proofErr w:type="gramStart"/>
      <w:r w:rsidRPr="00B14CCC">
        <w:rPr>
          <w:rFonts w:ascii="Times New Roman" w:eastAsia="Times New Roman" w:hAnsi="Times New Roman" w:cs="Times New Roman"/>
          <w:sz w:val="24"/>
          <w:szCs w:val="24"/>
        </w:rPr>
        <w:t>communities,</w:t>
      </w:r>
      <w:proofErr w:type="gramEnd"/>
      <w:r w:rsidRPr="00B14CCC">
        <w:rPr>
          <w:rFonts w:ascii="Times New Roman" w:eastAsia="Times New Roman" w:hAnsi="Times New Roman" w:cs="Times New Roman"/>
          <w:sz w:val="24"/>
          <w:szCs w:val="24"/>
        </w:rPr>
        <w:t xml:space="preserve"> ensuring research questions address community priorities rather than solely biomedical interests. Intellectual property protections and benefit-sharing agreements should be established before research commences, preventing exploitation of traditional knowledge and ensuring equitable distribution of potential commercial benefits.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Sixth, financing mechanisms should ensure sustainability of traditional medicine integration through incorporation into national health insurance schemes, allocation of dedicated budget </w:t>
      </w:r>
      <w:r w:rsidRPr="00B14CCC">
        <w:rPr>
          <w:rFonts w:ascii="Times New Roman" w:eastAsia="Times New Roman" w:hAnsi="Times New Roman" w:cs="Times New Roman"/>
          <w:sz w:val="24"/>
          <w:szCs w:val="24"/>
        </w:rPr>
        <w:lastRenderedPageBreak/>
        <w:t>lines for traditional medicine programs, and development of compensation structures for traditional practitioners that recognize their expertise while maintaining affordability for patients. Economic evaluations should assess cost-effectiveness of integrated healthcare models, documenting potential savings from reduced facility-based care utilization and improved management of chronic conditions through traditional medicine approaches.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Finally, integration policies should prioritize community participation and self-determination, particularly in indigenous communities with distinct cultural identities and healthcare preferences. Healthcare programs should be designed and delivered according to community priorities, with indigenous communities exercising control over health service implementation rather than serving merely as consultation participants in externally designed programs. This approach respects human rights principles of cultural autonomy and self-determination while improving program effectiveness through community ownership and cultural appropriateness.</w:t>
      </w:r>
    </w:p>
    <w:p w:rsidR="008A40D3" w:rsidRPr="00B14CCC" w:rsidRDefault="008A40D3"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Conclusion</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Indigenous medicine constitutes an essential yet historically marginalized component of primary healthcare systems, particularly within remote and underserved communities where conventional medical infrastructure remains inadequate and cultural factors significantly influence healthcare utilization. Evidence from diverse geographical contexts demonstrates that thoughtful integration of traditional and biomedical approaches can enhance healthcare accessibility, improve health outcomes, and respect cultural diversity while addressing critical gaps in service delivery for marginalized populations.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Successful integration models share several common features including formal governmental recognition and institutional support, collaborative practice arrangements respecting the distinct contributions of different medical traditions, community participation in program design and delivery, attention to social determinants of health, and appropriate quality assurance mechanisms balancing safety concerns with epistemological respect. These elements combine to create healthcare systems that leverage the respective strengths of indigenous and biomedical approaches while mitigating their individual limitations.</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Challenges confronting integration efforts include epistemological tensions between knowledge systems, difficulties generating evidence satisfying both traditional and biomedical validity standards, quality control concerns for herbal preparations, intellectual property and benefit-sharing disputes, professional tensions between practitioner groups, and inadequate funding for sustained implementation. Addressing these challenges requires political will, sustained resource commitment, and fundamental shifts in attitudes regarding the legitimacy and value of indigenous medical knowledge.</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case studies examined reveal that indigenous medicine contributes to primary healthcare not merely as a stopgap measure for communities lacking biomedical access, but as a valuable healthcare resource offering unique therapeutic approaches, cultural resonance, and holistic perspectives on health and healing. Botanical pharmacology, therapeutic relationships, spiritual healing practices, and attention to social and environmental </w:t>
      </w:r>
      <w:r w:rsidRPr="00B14CCC">
        <w:rPr>
          <w:rFonts w:ascii="Times New Roman" w:eastAsia="Times New Roman" w:hAnsi="Times New Roman" w:cs="Times New Roman"/>
          <w:sz w:val="24"/>
          <w:szCs w:val="24"/>
        </w:rPr>
        <w:lastRenderedPageBreak/>
        <w:t>determinants of health represent legitimate contributions to comprehensive healthcare rather than primitive superstitions to be eliminated through modernization.</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Moving forward, healthcare systems must grapple with fundamental questions regarding medical pluralism, cultural diversity, and health equity. The continued marginalization of indigenous medicine perpetuates health inequities, dismisses sophisticated bodies of traditional knowledge, and fails to serve communities effectively. Conversely, romanticizing traditional medicine without attending to safety concerns, or attempting to force-fit indigenous practices into biomedical frameworks without epistemological respect, undermines integration efforts and perpetuates colonial dynamics of knowledge extraction and cultural appropriation.</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global health community increasingly recognizes that achieving universal health coverage and health equity requires embracing medical pluralism and developing healthcare systems responsive to diverse cultural contexts and community preferences. Indigenous medicine represents not an obstacle to be overcome in pursuit of universal biomedical care, but rather an essential component of comprehensive, culturally appropriate, and accessible primary healthcare. The experiences documented in this research demonstrate that when healthcare systems acknowledge, respect, and thoughtfully integrate indigenous medical knowledge, they enhance their capacity to serve all populations effectively while preserving cultural heritage and promoting health justice.</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Future research should continue documenting integration models, outcomes, and implementation strategies across diverse contexts, building evidence bases that satisfy multiple epistemological frameworks and support policy development. Longitudinal studies examining long-term outcomes of integrated healthcare models, comparative effectiveness research assessing different integration approaches, and participatory research conducted collaboratively with indigenous communities can advance understanding and improve integration practice. Additionally, research examining the social, cultural, and economic impacts of integration beyond clinical health outcomes can capture the multidimensional benefits indigenous medicine contributes to community wellbeing and cultural preservation.</w:t>
      </w:r>
    </w:p>
    <w:p w:rsidR="008A40D3" w:rsidRPr="00B14CCC" w:rsidRDefault="008A40D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Ultimately, the role of indigenous medicine in primary healthcare delivery extends beyond pragmatic necessity in resource-constrained settings to encompass fundamental principles of cultural respect, epistemological diversity, community self-determination, and holistic approaches to health and healing. Recognizing and operationalizing these principles through thoughtful integration policies and practices represents a critical step toward achieving truly equitable, accessible, and comprehensive healthcare systems serving all populations effectively.</w:t>
      </w:r>
    </w:p>
    <w:p w:rsidR="008A40D3" w:rsidRPr="00B14CCC" w:rsidRDefault="008A40D3"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References</w:t>
      </w:r>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Abdullahi, A. A. (2011). Trends and challenges of traditional medicine in Africa. </w:t>
      </w:r>
      <w:r w:rsidRPr="00B14CCC">
        <w:rPr>
          <w:rFonts w:ascii="Times New Roman" w:eastAsia="Times New Roman" w:hAnsi="Times New Roman" w:cs="Times New Roman"/>
          <w:i/>
          <w:iCs/>
          <w:sz w:val="24"/>
          <w:szCs w:val="24"/>
        </w:rPr>
        <w:t>African Journal of Traditional, Complementary and Alternative Medicines</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8</w:t>
      </w:r>
      <w:r w:rsidRPr="00B14CCC">
        <w:rPr>
          <w:rFonts w:ascii="Times New Roman" w:eastAsia="Times New Roman" w:hAnsi="Times New Roman" w:cs="Times New Roman"/>
          <w:sz w:val="24"/>
          <w:szCs w:val="24"/>
        </w:rPr>
        <w:t xml:space="preserve">(5S), 115-123. </w:t>
      </w:r>
      <w:hyperlink r:id="rId83" w:history="1">
        <w:r w:rsidRPr="00B14CCC">
          <w:rPr>
            <w:rFonts w:ascii="Times New Roman" w:eastAsia="Times New Roman" w:hAnsi="Times New Roman" w:cs="Times New Roman"/>
            <w:color w:val="0000FF"/>
            <w:sz w:val="24"/>
            <w:szCs w:val="24"/>
            <w:u w:val="single"/>
          </w:rPr>
          <w:t>https://doi.org/10.4314/ajtcam.v8i5S.5</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 xml:space="preserve">Agyei-Baffour, P., Kudolo, A., Quansah, D. Y., &amp; Boateng, D. (2013). Households' perceived utility of health insurance and enrolment willingness in a Ghanaian context. </w:t>
      </w:r>
      <w:r w:rsidRPr="00B14CCC">
        <w:rPr>
          <w:rFonts w:ascii="Times New Roman" w:eastAsia="Times New Roman" w:hAnsi="Times New Roman" w:cs="Times New Roman"/>
          <w:i/>
          <w:iCs/>
          <w:sz w:val="24"/>
          <w:szCs w:val="24"/>
        </w:rPr>
        <w:t>International Journal for Equity in Health</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12</w:t>
      </w:r>
      <w:r w:rsidRPr="00B14CCC">
        <w:rPr>
          <w:rFonts w:ascii="Times New Roman" w:eastAsia="Times New Roman" w:hAnsi="Times New Roman" w:cs="Times New Roman"/>
          <w:sz w:val="24"/>
          <w:szCs w:val="24"/>
        </w:rPr>
        <w:t xml:space="preserve">(1), 86. </w:t>
      </w:r>
      <w:hyperlink r:id="rId84" w:history="1">
        <w:r w:rsidRPr="00B14CCC">
          <w:rPr>
            <w:rFonts w:ascii="Times New Roman" w:eastAsia="Times New Roman" w:hAnsi="Times New Roman" w:cs="Times New Roman"/>
            <w:color w:val="0000FF"/>
            <w:sz w:val="24"/>
            <w:szCs w:val="24"/>
            <w:u w:val="single"/>
          </w:rPr>
          <w:t>https://doi.org/10.1186/1475-9276-12-86</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Ameade, E. P. K., &amp; Garti, H. A. (2016). Relationship between female gender and attitude towards integration of African traditional medicine in the formal health care system in Accra, Ghana. </w:t>
      </w:r>
      <w:r w:rsidRPr="00B14CCC">
        <w:rPr>
          <w:rFonts w:ascii="Times New Roman" w:eastAsia="Times New Roman" w:hAnsi="Times New Roman" w:cs="Times New Roman"/>
          <w:i/>
          <w:iCs/>
          <w:sz w:val="24"/>
          <w:szCs w:val="24"/>
        </w:rPr>
        <w:t>Journal of Community Health</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41</w:t>
      </w:r>
      <w:r w:rsidRPr="00B14CCC">
        <w:rPr>
          <w:rFonts w:ascii="Times New Roman" w:eastAsia="Times New Roman" w:hAnsi="Times New Roman" w:cs="Times New Roman"/>
          <w:sz w:val="24"/>
          <w:szCs w:val="24"/>
        </w:rPr>
        <w:t xml:space="preserve">(4), 705-714. </w:t>
      </w:r>
      <w:hyperlink r:id="rId85" w:history="1">
        <w:r w:rsidR="00B14CCC" w:rsidRPr="00B14CCC">
          <w:rPr>
            <w:rStyle w:val="Hyperlink"/>
            <w:rFonts w:ascii="Times New Roman" w:eastAsia="Times New Roman" w:hAnsi="Times New Roman" w:cs="Times New Roman"/>
            <w:sz w:val="24"/>
            <w:szCs w:val="24"/>
          </w:rPr>
          <w:t>https://doi.org/10.1007/s10900-015-0149-4</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proofErr w:type="spellStart"/>
      <w:r w:rsidRPr="00B14CCC">
        <w:rPr>
          <w:rFonts w:ascii="Times New Roman" w:eastAsia="Times New Roman" w:hAnsi="Times New Roman" w:cs="Times New Roman"/>
          <w:sz w:val="24"/>
          <w:szCs w:val="24"/>
        </w:rPr>
        <w:t>Amoah</w:t>
      </w:r>
      <w:proofErr w:type="spellEnd"/>
      <w:r w:rsidRPr="00B14CCC">
        <w:rPr>
          <w:rFonts w:ascii="Times New Roman" w:eastAsia="Times New Roman" w:hAnsi="Times New Roman" w:cs="Times New Roman"/>
          <w:sz w:val="24"/>
          <w:szCs w:val="24"/>
        </w:rPr>
        <w:t xml:space="preserve">, S. K., Sandjo, L. P., Kratz, J. M., &amp; Biavatti, M. W. (2014). Rosmarinic acid—pharmaceutical and clinical aspects. </w:t>
      </w:r>
      <w:r w:rsidRPr="00B14CCC">
        <w:rPr>
          <w:rFonts w:ascii="Times New Roman" w:eastAsia="Times New Roman" w:hAnsi="Times New Roman" w:cs="Times New Roman"/>
          <w:i/>
          <w:iCs/>
          <w:sz w:val="24"/>
          <w:szCs w:val="24"/>
        </w:rPr>
        <w:t>Planta Medica</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80</w:t>
      </w:r>
      <w:r w:rsidRPr="00B14CCC">
        <w:rPr>
          <w:rFonts w:ascii="Times New Roman" w:eastAsia="Times New Roman" w:hAnsi="Times New Roman" w:cs="Times New Roman"/>
          <w:sz w:val="24"/>
          <w:szCs w:val="24"/>
        </w:rPr>
        <w:t xml:space="preserve">(17), 1509-1519. </w:t>
      </w:r>
      <w:hyperlink r:id="rId86" w:history="1">
        <w:r w:rsidRPr="00B14CCC">
          <w:rPr>
            <w:rFonts w:ascii="Times New Roman" w:eastAsia="Times New Roman" w:hAnsi="Times New Roman" w:cs="Times New Roman"/>
            <w:color w:val="0000FF"/>
            <w:sz w:val="24"/>
            <w:szCs w:val="24"/>
            <w:u w:val="single"/>
          </w:rPr>
          <w:t>https://doi.org/10.1055/s-0034-1383049</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Australian Institute of Health and Welfare. (2018). </w:t>
      </w:r>
      <w:r w:rsidRPr="00B14CCC">
        <w:rPr>
          <w:rFonts w:ascii="Times New Roman" w:eastAsia="Times New Roman" w:hAnsi="Times New Roman" w:cs="Times New Roman"/>
          <w:i/>
          <w:iCs/>
          <w:sz w:val="24"/>
          <w:szCs w:val="24"/>
        </w:rPr>
        <w:t>Suicide and self-harm monitoring</w:t>
      </w:r>
      <w:r w:rsidRPr="00B14CCC">
        <w:rPr>
          <w:rFonts w:ascii="Times New Roman" w:eastAsia="Times New Roman" w:hAnsi="Times New Roman" w:cs="Times New Roman"/>
          <w:sz w:val="24"/>
          <w:szCs w:val="24"/>
        </w:rPr>
        <w:t xml:space="preserve">. AIHW. </w:t>
      </w:r>
      <w:hyperlink r:id="rId87" w:history="1">
        <w:r w:rsidRPr="00B14CCC">
          <w:rPr>
            <w:rFonts w:ascii="Times New Roman" w:eastAsia="Times New Roman" w:hAnsi="Times New Roman" w:cs="Times New Roman"/>
            <w:color w:val="0000FF"/>
            <w:sz w:val="24"/>
            <w:szCs w:val="24"/>
            <w:u w:val="single"/>
          </w:rPr>
          <w:t>https://www.aihw.gov.au/suicide-self-harm-monitoring</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Battiste, M., &amp; Henderson, J. Y. (2000). </w:t>
      </w:r>
      <w:r w:rsidRPr="00B14CCC">
        <w:rPr>
          <w:rFonts w:ascii="Times New Roman" w:eastAsia="Times New Roman" w:hAnsi="Times New Roman" w:cs="Times New Roman"/>
          <w:i/>
          <w:iCs/>
          <w:sz w:val="24"/>
          <w:szCs w:val="24"/>
        </w:rPr>
        <w:t>Protecting indigenous knowledge and heritage: A global challenge</w:t>
      </w:r>
      <w:r w:rsidRPr="00B14CCC">
        <w:rPr>
          <w:rFonts w:ascii="Times New Roman" w:eastAsia="Times New Roman" w:hAnsi="Times New Roman" w:cs="Times New Roman"/>
          <w:sz w:val="24"/>
          <w:szCs w:val="24"/>
        </w:rPr>
        <w:t>. Purich Publishing.</w:t>
      </w:r>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Bode, M. (2008). </w:t>
      </w:r>
      <w:r w:rsidRPr="00B14CCC">
        <w:rPr>
          <w:rFonts w:ascii="Times New Roman" w:eastAsia="Times New Roman" w:hAnsi="Times New Roman" w:cs="Times New Roman"/>
          <w:i/>
          <w:iCs/>
          <w:sz w:val="24"/>
          <w:szCs w:val="24"/>
        </w:rPr>
        <w:t>Taking traditional knowledge to the market: The modern image of the Ayurvedic and Unani industry, 1980-2000</w:t>
      </w:r>
      <w:r w:rsidRPr="00B14CCC">
        <w:rPr>
          <w:rFonts w:ascii="Times New Roman" w:eastAsia="Times New Roman" w:hAnsi="Times New Roman" w:cs="Times New Roman"/>
          <w:sz w:val="24"/>
          <w:szCs w:val="24"/>
        </w:rPr>
        <w:t>. Orient Blackswan.</w:t>
      </w:r>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Braun, V., &amp; Clarke, V. (2006). Using thematic analysis in psychology. </w:t>
      </w:r>
      <w:r w:rsidRPr="00B14CCC">
        <w:rPr>
          <w:rFonts w:ascii="Times New Roman" w:eastAsia="Times New Roman" w:hAnsi="Times New Roman" w:cs="Times New Roman"/>
          <w:i/>
          <w:iCs/>
          <w:sz w:val="24"/>
          <w:szCs w:val="24"/>
        </w:rPr>
        <w:t>Qualitative Research in Psychology</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3</w:t>
      </w:r>
      <w:r w:rsidRPr="00B14CCC">
        <w:rPr>
          <w:rFonts w:ascii="Times New Roman" w:eastAsia="Times New Roman" w:hAnsi="Times New Roman" w:cs="Times New Roman"/>
          <w:sz w:val="24"/>
          <w:szCs w:val="24"/>
        </w:rPr>
        <w:t xml:space="preserve">(2), 77-101. </w:t>
      </w:r>
      <w:hyperlink r:id="rId88" w:history="1">
        <w:r w:rsidRPr="00B14CCC">
          <w:rPr>
            <w:rFonts w:ascii="Times New Roman" w:eastAsia="Times New Roman" w:hAnsi="Times New Roman" w:cs="Times New Roman"/>
            <w:color w:val="0000FF"/>
            <w:sz w:val="24"/>
            <w:szCs w:val="24"/>
            <w:u w:val="single"/>
          </w:rPr>
          <w:t>https://doi.org/10.1191/1478088706qp063oa</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Broom, A., Wijewardena, K., Sibbritt, D., Adams, J., &amp; Nayar, K. R. (2009). The use of traditional, complementary and alternative medicine in Sri Lankan cancer care: Results from a survey of 500 cancer patients. </w:t>
      </w:r>
      <w:r w:rsidRPr="00B14CCC">
        <w:rPr>
          <w:rFonts w:ascii="Times New Roman" w:eastAsia="Times New Roman" w:hAnsi="Times New Roman" w:cs="Times New Roman"/>
          <w:i/>
          <w:iCs/>
          <w:sz w:val="24"/>
          <w:szCs w:val="24"/>
        </w:rPr>
        <w:t>Public Health</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123</w:t>
      </w:r>
      <w:r w:rsidRPr="00B14CCC">
        <w:rPr>
          <w:rFonts w:ascii="Times New Roman" w:eastAsia="Times New Roman" w:hAnsi="Times New Roman" w:cs="Times New Roman"/>
          <w:sz w:val="24"/>
          <w:szCs w:val="24"/>
        </w:rPr>
        <w:t xml:space="preserve">(12), 780-784. </w:t>
      </w:r>
      <w:hyperlink r:id="rId89" w:history="1">
        <w:r w:rsidRPr="00B14CCC">
          <w:rPr>
            <w:rFonts w:ascii="Times New Roman" w:eastAsia="Times New Roman" w:hAnsi="Times New Roman" w:cs="Times New Roman"/>
            <w:color w:val="0000FF"/>
            <w:sz w:val="24"/>
            <w:szCs w:val="24"/>
            <w:u w:val="single"/>
          </w:rPr>
          <w:t>https://doi.org/10.1016/j.puhe.2009.10.020</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Cant, S., &amp; Sharma, U. (1999). </w:t>
      </w:r>
      <w:r w:rsidRPr="00B14CCC">
        <w:rPr>
          <w:rFonts w:ascii="Times New Roman" w:eastAsia="Times New Roman" w:hAnsi="Times New Roman" w:cs="Times New Roman"/>
          <w:i/>
          <w:iCs/>
          <w:sz w:val="24"/>
          <w:szCs w:val="24"/>
        </w:rPr>
        <w:t>A new medical pluralism? Alternative medicine, doctors, patients and the state</w:t>
      </w:r>
      <w:r w:rsidRPr="00B14CCC">
        <w:rPr>
          <w:rFonts w:ascii="Times New Roman" w:eastAsia="Times New Roman" w:hAnsi="Times New Roman" w:cs="Times New Roman"/>
          <w:sz w:val="24"/>
          <w:szCs w:val="24"/>
        </w:rPr>
        <w:t>. UCL Press.</w:t>
      </w:r>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Chopra, A., Lavin, P., Patwardhan, B., &amp; Chitre, D. (2013). A 32-week randomized, placebo-controlled clinical evaluation of RA-11, an Ayurvedic drug, on osteoarthritis of the knees. </w:t>
      </w:r>
      <w:r w:rsidRPr="00B14CCC">
        <w:rPr>
          <w:rFonts w:ascii="Times New Roman" w:eastAsia="Times New Roman" w:hAnsi="Times New Roman" w:cs="Times New Roman"/>
          <w:i/>
          <w:iCs/>
          <w:sz w:val="24"/>
          <w:szCs w:val="24"/>
        </w:rPr>
        <w:t>Journal of Clinical Rheumatology</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19</w:t>
      </w:r>
      <w:r w:rsidRPr="00B14CCC">
        <w:rPr>
          <w:rFonts w:ascii="Times New Roman" w:eastAsia="Times New Roman" w:hAnsi="Times New Roman" w:cs="Times New Roman"/>
          <w:sz w:val="24"/>
          <w:szCs w:val="24"/>
        </w:rPr>
        <w:t xml:space="preserve">(5), 236-245. </w:t>
      </w:r>
      <w:hyperlink r:id="rId90" w:history="1">
        <w:r w:rsidRPr="00B14CCC">
          <w:rPr>
            <w:rFonts w:ascii="Times New Roman" w:eastAsia="Times New Roman" w:hAnsi="Times New Roman" w:cs="Times New Roman"/>
            <w:color w:val="0000FF"/>
            <w:sz w:val="24"/>
            <w:szCs w:val="24"/>
            <w:u w:val="single"/>
          </w:rPr>
          <w:t>https://doi.org/10.1097/RHU.0b013e3182a21cdd</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Ekor, M. (2014). The growing use of herbal medicines: Issues relating to adverse reactions and challenges in monitoring safety. </w:t>
      </w:r>
      <w:r w:rsidRPr="00B14CCC">
        <w:rPr>
          <w:rFonts w:ascii="Times New Roman" w:eastAsia="Times New Roman" w:hAnsi="Times New Roman" w:cs="Times New Roman"/>
          <w:i/>
          <w:iCs/>
          <w:sz w:val="24"/>
          <w:szCs w:val="24"/>
        </w:rPr>
        <w:t>Frontiers in Pharmacology</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4</w:t>
      </w:r>
      <w:r w:rsidRPr="00B14CCC">
        <w:rPr>
          <w:rFonts w:ascii="Times New Roman" w:eastAsia="Times New Roman" w:hAnsi="Times New Roman" w:cs="Times New Roman"/>
          <w:sz w:val="24"/>
          <w:szCs w:val="24"/>
        </w:rPr>
        <w:t xml:space="preserve">, 177. </w:t>
      </w:r>
      <w:hyperlink r:id="rId91" w:history="1">
        <w:r w:rsidRPr="00B14CCC">
          <w:rPr>
            <w:rFonts w:ascii="Times New Roman" w:eastAsia="Times New Roman" w:hAnsi="Times New Roman" w:cs="Times New Roman"/>
            <w:color w:val="0000FF"/>
            <w:sz w:val="24"/>
            <w:szCs w:val="24"/>
            <w:u w:val="single"/>
          </w:rPr>
          <w:t>https://doi.org/10.3389/fphar.2013.00177</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Fabricant, D. S., &amp; Farnsworth, N. R. (2001). The value of plants used in traditional medicine for drug discovery. </w:t>
      </w:r>
      <w:r w:rsidRPr="00B14CCC">
        <w:rPr>
          <w:rFonts w:ascii="Times New Roman" w:eastAsia="Times New Roman" w:hAnsi="Times New Roman" w:cs="Times New Roman"/>
          <w:i/>
          <w:iCs/>
          <w:sz w:val="24"/>
          <w:szCs w:val="24"/>
        </w:rPr>
        <w:t>Environmental Health Perspectives</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109</w:t>
      </w:r>
      <w:r w:rsidRPr="00B14CCC">
        <w:rPr>
          <w:rFonts w:ascii="Times New Roman" w:eastAsia="Times New Roman" w:hAnsi="Times New Roman" w:cs="Times New Roman"/>
          <w:sz w:val="24"/>
          <w:szCs w:val="24"/>
        </w:rPr>
        <w:t xml:space="preserve">(Suppl 1), 69-75. </w:t>
      </w:r>
      <w:hyperlink r:id="rId92" w:history="1">
        <w:r w:rsidRPr="00B14CCC">
          <w:rPr>
            <w:rFonts w:ascii="Times New Roman" w:eastAsia="Times New Roman" w:hAnsi="Times New Roman" w:cs="Times New Roman"/>
            <w:color w:val="0000FF"/>
            <w:sz w:val="24"/>
            <w:szCs w:val="24"/>
            <w:u w:val="single"/>
          </w:rPr>
          <w:t>https://doi.org/10.1289/ehp.01109s169</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Frisancho, A., Cogorno, L., Cárdenas, J., &amp; Peña, P. (2015). Percepción de la calidad de atención en los servicios de salud: Perspectiva de los usuarios. </w:t>
      </w:r>
      <w:r w:rsidRPr="00B14CCC">
        <w:rPr>
          <w:rFonts w:ascii="Times New Roman" w:eastAsia="Times New Roman" w:hAnsi="Times New Roman" w:cs="Times New Roman"/>
          <w:i/>
          <w:iCs/>
          <w:sz w:val="24"/>
          <w:szCs w:val="24"/>
        </w:rPr>
        <w:t>Horizonte Médico</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15</w:t>
      </w:r>
      <w:r w:rsidRPr="00B14CCC">
        <w:rPr>
          <w:rFonts w:ascii="Times New Roman" w:eastAsia="Times New Roman" w:hAnsi="Times New Roman" w:cs="Times New Roman"/>
          <w:sz w:val="24"/>
          <w:szCs w:val="24"/>
        </w:rPr>
        <w:t>(1), 50-56.</w:t>
      </w:r>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Gabrysch, S., Lema, C., Bedriñana, E., Bautista, M. A., Malca, R., Campbell, O. M., &amp; Miranda, J. J. (2009). Cultural adaptation of birthing services in rural Ayacucho, Peru. </w:t>
      </w:r>
      <w:r w:rsidRPr="00B14CCC">
        <w:rPr>
          <w:rFonts w:ascii="Times New Roman" w:eastAsia="Times New Roman" w:hAnsi="Times New Roman" w:cs="Times New Roman"/>
          <w:i/>
          <w:iCs/>
          <w:sz w:val="24"/>
          <w:szCs w:val="24"/>
        </w:rPr>
        <w:t>Bulletin of the World Health Organization</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87</w:t>
      </w:r>
      <w:r w:rsidRPr="00B14CCC">
        <w:rPr>
          <w:rFonts w:ascii="Times New Roman" w:eastAsia="Times New Roman" w:hAnsi="Times New Roman" w:cs="Times New Roman"/>
          <w:sz w:val="24"/>
          <w:szCs w:val="24"/>
        </w:rPr>
        <w:t xml:space="preserve">(9), 724-729. </w:t>
      </w:r>
      <w:hyperlink r:id="rId93" w:history="1">
        <w:r w:rsidRPr="00B14CCC">
          <w:rPr>
            <w:rFonts w:ascii="Times New Roman" w:eastAsia="Times New Roman" w:hAnsi="Times New Roman" w:cs="Times New Roman"/>
            <w:color w:val="0000FF"/>
            <w:sz w:val="24"/>
            <w:szCs w:val="24"/>
            <w:u w:val="single"/>
          </w:rPr>
          <w:t>https://doi.org/10.2471/BLT.08.057794</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Gee, G., Dudgeon, P., Schultz, C., Hart, A., &amp; Kelly, K. (2014). Aboriginal and Torres Strait Islander social and emotional wellbeing. In P. Dudgeon, H. Milroy, &amp; R. Walker </w:t>
      </w:r>
      <w:r w:rsidRPr="00B14CCC">
        <w:rPr>
          <w:rFonts w:ascii="Times New Roman" w:eastAsia="Times New Roman" w:hAnsi="Times New Roman" w:cs="Times New Roman"/>
          <w:sz w:val="24"/>
          <w:szCs w:val="24"/>
        </w:rPr>
        <w:lastRenderedPageBreak/>
        <w:t xml:space="preserve">(Eds.), </w:t>
      </w:r>
      <w:r w:rsidRPr="00B14CCC">
        <w:rPr>
          <w:rFonts w:ascii="Times New Roman" w:eastAsia="Times New Roman" w:hAnsi="Times New Roman" w:cs="Times New Roman"/>
          <w:i/>
          <w:iCs/>
          <w:sz w:val="24"/>
          <w:szCs w:val="24"/>
        </w:rPr>
        <w:t>Working together: Aboriginal and Torres Strait Islander mental health and wellbeing principles and practice</w:t>
      </w:r>
      <w:r w:rsidRPr="00B14CCC">
        <w:rPr>
          <w:rFonts w:ascii="Times New Roman" w:eastAsia="Times New Roman" w:hAnsi="Times New Roman" w:cs="Times New Roman"/>
          <w:sz w:val="24"/>
          <w:szCs w:val="24"/>
        </w:rPr>
        <w:t xml:space="preserve"> (2nd ed., pp. 55-68). Australian Government Department of the Prime Minister and Cabinet.</w:t>
      </w:r>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Gyasi, R. M., Siaw, L. P., &amp; Mensah, C. M. (2011). Prevalence and pattern of traditional medical therapy utilisation in Kumasi Metropolis and Sekyere South District, Ghana. </w:t>
      </w:r>
      <w:r w:rsidRPr="00B14CCC">
        <w:rPr>
          <w:rFonts w:ascii="Times New Roman" w:eastAsia="Times New Roman" w:hAnsi="Times New Roman" w:cs="Times New Roman"/>
          <w:i/>
          <w:iCs/>
          <w:sz w:val="24"/>
          <w:szCs w:val="24"/>
        </w:rPr>
        <w:t>Journal of Ethnopharmacology</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161</w:t>
      </w:r>
      <w:r w:rsidRPr="00B14CCC">
        <w:rPr>
          <w:rFonts w:ascii="Times New Roman" w:eastAsia="Times New Roman" w:hAnsi="Times New Roman" w:cs="Times New Roman"/>
          <w:sz w:val="24"/>
          <w:szCs w:val="24"/>
        </w:rPr>
        <w:t xml:space="preserve">, 138-146. </w:t>
      </w:r>
      <w:hyperlink r:id="rId94" w:history="1">
        <w:r w:rsidRPr="00B14CCC">
          <w:rPr>
            <w:rFonts w:ascii="Times New Roman" w:eastAsia="Times New Roman" w:hAnsi="Times New Roman" w:cs="Times New Roman"/>
            <w:color w:val="0000FF"/>
            <w:sz w:val="24"/>
            <w:szCs w:val="24"/>
            <w:u w:val="single"/>
          </w:rPr>
          <w:t>https://doi.org/10.1016/j.jep.2014.12.004</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Haswell-Elkins, M., Reilly, L., Fagan, R., Ypinazar, V., Hunter, E., Tsey, K., Boustead, C., McDermott, R., &amp; Gibson, T. (2009). Listening, sharing understanding and facilitating consumer, family and community empowerment through a priority driven, Aboriginal mental health services model. </w:t>
      </w:r>
      <w:r w:rsidRPr="00B14CCC">
        <w:rPr>
          <w:rFonts w:ascii="Times New Roman" w:eastAsia="Times New Roman" w:hAnsi="Times New Roman" w:cs="Times New Roman"/>
          <w:i/>
          <w:iCs/>
          <w:sz w:val="24"/>
          <w:szCs w:val="24"/>
        </w:rPr>
        <w:t>Australasian Psychiatry</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17</w:t>
      </w:r>
      <w:r w:rsidRPr="00B14CCC">
        <w:rPr>
          <w:rFonts w:ascii="Times New Roman" w:eastAsia="Times New Roman" w:hAnsi="Times New Roman" w:cs="Times New Roman"/>
          <w:sz w:val="24"/>
          <w:szCs w:val="24"/>
        </w:rPr>
        <w:t xml:space="preserve">(Suppl 1), S54-S58. </w:t>
      </w:r>
      <w:hyperlink r:id="rId95" w:history="1">
        <w:r w:rsidRPr="00B14CCC">
          <w:rPr>
            <w:rFonts w:ascii="Times New Roman" w:eastAsia="Times New Roman" w:hAnsi="Times New Roman" w:cs="Times New Roman"/>
            <w:color w:val="0000FF"/>
            <w:sz w:val="24"/>
            <w:szCs w:val="24"/>
            <w:u w:val="single"/>
          </w:rPr>
          <w:t>https://doi.org/10.1080/10398560902948563</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Hollenberg, D., &amp; Muzzin, L. (2010). Epistemological challenges to integrative health care: An anti-colonial perspective on the combination of complementary/alternative medicine with biomedicine. </w:t>
      </w:r>
      <w:r w:rsidRPr="00B14CCC">
        <w:rPr>
          <w:rFonts w:ascii="Times New Roman" w:eastAsia="Times New Roman" w:hAnsi="Times New Roman" w:cs="Times New Roman"/>
          <w:i/>
          <w:iCs/>
          <w:sz w:val="24"/>
          <w:szCs w:val="24"/>
        </w:rPr>
        <w:t>Health Sociology Review</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19</w:t>
      </w:r>
      <w:r w:rsidRPr="00B14CCC">
        <w:rPr>
          <w:rFonts w:ascii="Times New Roman" w:eastAsia="Times New Roman" w:hAnsi="Times New Roman" w:cs="Times New Roman"/>
          <w:sz w:val="24"/>
          <w:szCs w:val="24"/>
        </w:rPr>
        <w:t xml:space="preserve">(1), 34-56. </w:t>
      </w:r>
      <w:hyperlink r:id="rId96" w:history="1">
        <w:r w:rsidRPr="00B14CCC">
          <w:rPr>
            <w:rFonts w:ascii="Times New Roman" w:eastAsia="Times New Roman" w:hAnsi="Times New Roman" w:cs="Times New Roman"/>
            <w:color w:val="0000FF"/>
            <w:sz w:val="24"/>
            <w:szCs w:val="24"/>
            <w:u w:val="single"/>
          </w:rPr>
          <w:t>https://doi.org/10.5172/hesr.2010.19.1.034</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Isaacs, A. N., Maybery, D., &amp; Gruis, H. (2016). Mental health services for Aboriginal men: Mismatches and solutions. </w:t>
      </w:r>
      <w:r w:rsidRPr="00B14CCC">
        <w:rPr>
          <w:rFonts w:ascii="Times New Roman" w:eastAsia="Times New Roman" w:hAnsi="Times New Roman" w:cs="Times New Roman"/>
          <w:i/>
          <w:iCs/>
          <w:sz w:val="24"/>
          <w:szCs w:val="24"/>
        </w:rPr>
        <w:t>International Journal of Mental Health Nursing</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25</w:t>
      </w:r>
      <w:r w:rsidRPr="00B14CCC">
        <w:rPr>
          <w:rFonts w:ascii="Times New Roman" w:eastAsia="Times New Roman" w:hAnsi="Times New Roman" w:cs="Times New Roman"/>
          <w:sz w:val="24"/>
          <w:szCs w:val="24"/>
        </w:rPr>
        <w:t xml:space="preserve">(5), 400-408. </w:t>
      </w:r>
      <w:hyperlink r:id="rId97" w:history="1">
        <w:r w:rsidRPr="00B14CCC">
          <w:rPr>
            <w:rFonts w:ascii="Times New Roman" w:eastAsia="Times New Roman" w:hAnsi="Times New Roman" w:cs="Times New Roman"/>
            <w:color w:val="0000FF"/>
            <w:sz w:val="24"/>
            <w:szCs w:val="24"/>
            <w:u w:val="single"/>
          </w:rPr>
          <w:t>https://doi.org/10.1111/inm.12223</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Jaiswal, Y. S., &amp; Williams, L. L. (2017). A glimpse of Ayurveda—</w:t>
      </w:r>
      <w:proofErr w:type="gramStart"/>
      <w:r w:rsidRPr="00B14CCC">
        <w:rPr>
          <w:rFonts w:ascii="Times New Roman" w:eastAsia="Times New Roman" w:hAnsi="Times New Roman" w:cs="Times New Roman"/>
          <w:sz w:val="24"/>
          <w:szCs w:val="24"/>
        </w:rPr>
        <w:t>The</w:t>
      </w:r>
      <w:proofErr w:type="gramEnd"/>
      <w:r w:rsidRPr="00B14CCC">
        <w:rPr>
          <w:rFonts w:ascii="Times New Roman" w:eastAsia="Times New Roman" w:hAnsi="Times New Roman" w:cs="Times New Roman"/>
          <w:sz w:val="24"/>
          <w:szCs w:val="24"/>
        </w:rPr>
        <w:t xml:space="preserve"> forgotten history and principles of Indian traditional medicine. </w:t>
      </w:r>
      <w:r w:rsidRPr="00B14CCC">
        <w:rPr>
          <w:rFonts w:ascii="Times New Roman" w:eastAsia="Times New Roman" w:hAnsi="Times New Roman" w:cs="Times New Roman"/>
          <w:i/>
          <w:iCs/>
          <w:sz w:val="24"/>
          <w:szCs w:val="24"/>
        </w:rPr>
        <w:t>Journal of Traditional and Complementary Medicine</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7</w:t>
      </w:r>
      <w:r w:rsidRPr="00B14CCC">
        <w:rPr>
          <w:rFonts w:ascii="Times New Roman" w:eastAsia="Times New Roman" w:hAnsi="Times New Roman" w:cs="Times New Roman"/>
          <w:sz w:val="24"/>
          <w:szCs w:val="24"/>
        </w:rPr>
        <w:t xml:space="preserve">(1), 50-53. </w:t>
      </w:r>
      <w:hyperlink r:id="rId98" w:history="1">
        <w:r w:rsidRPr="00B14CCC">
          <w:rPr>
            <w:rFonts w:ascii="Times New Roman" w:eastAsia="Times New Roman" w:hAnsi="Times New Roman" w:cs="Times New Roman"/>
            <w:color w:val="0000FF"/>
            <w:sz w:val="24"/>
            <w:szCs w:val="24"/>
            <w:u w:val="single"/>
          </w:rPr>
          <w:t>https://doi.org/10.1016/j.jtcme.2016.02.002</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Kirmayer, L. J., Dandeneau, S., Marshall, E., Phillips, M. K., &amp; Williamson, K. J. (2011). Rethinking resilience from indigenous perspectives. </w:t>
      </w:r>
      <w:r w:rsidRPr="00B14CCC">
        <w:rPr>
          <w:rFonts w:ascii="Times New Roman" w:eastAsia="Times New Roman" w:hAnsi="Times New Roman" w:cs="Times New Roman"/>
          <w:i/>
          <w:iCs/>
          <w:sz w:val="24"/>
          <w:szCs w:val="24"/>
        </w:rPr>
        <w:t>Canadian Journal of Psychiatry</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56</w:t>
      </w:r>
      <w:r w:rsidRPr="00B14CCC">
        <w:rPr>
          <w:rFonts w:ascii="Times New Roman" w:eastAsia="Times New Roman" w:hAnsi="Times New Roman" w:cs="Times New Roman"/>
          <w:sz w:val="24"/>
          <w:szCs w:val="24"/>
        </w:rPr>
        <w:t xml:space="preserve">(2), 84-91. </w:t>
      </w:r>
      <w:hyperlink r:id="rId99" w:history="1">
        <w:r w:rsidRPr="00B14CCC">
          <w:rPr>
            <w:rFonts w:ascii="Times New Roman" w:eastAsia="Times New Roman" w:hAnsi="Times New Roman" w:cs="Times New Roman"/>
            <w:color w:val="0000FF"/>
            <w:sz w:val="24"/>
            <w:szCs w:val="24"/>
            <w:u w:val="single"/>
          </w:rPr>
          <w:t>https://doi.org/10.1177/070674371105600203</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Maizes, V., Rakel, D., &amp; Niemiec, C. (2009). Integrative medicine and patient-centered care. </w:t>
      </w:r>
      <w:r w:rsidRPr="00B14CCC">
        <w:rPr>
          <w:rFonts w:ascii="Times New Roman" w:eastAsia="Times New Roman" w:hAnsi="Times New Roman" w:cs="Times New Roman"/>
          <w:i/>
          <w:iCs/>
          <w:sz w:val="24"/>
          <w:szCs w:val="24"/>
        </w:rPr>
        <w:t>Explore</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5</w:t>
      </w:r>
      <w:r w:rsidRPr="00B14CCC">
        <w:rPr>
          <w:rFonts w:ascii="Times New Roman" w:eastAsia="Times New Roman" w:hAnsi="Times New Roman" w:cs="Times New Roman"/>
          <w:sz w:val="24"/>
          <w:szCs w:val="24"/>
        </w:rPr>
        <w:t xml:space="preserve">(5), 277-289. </w:t>
      </w:r>
      <w:hyperlink r:id="rId100" w:history="1">
        <w:r w:rsidRPr="00B14CCC">
          <w:rPr>
            <w:rFonts w:ascii="Times New Roman" w:eastAsia="Times New Roman" w:hAnsi="Times New Roman" w:cs="Times New Roman"/>
            <w:color w:val="0000FF"/>
            <w:sz w:val="24"/>
            <w:szCs w:val="24"/>
            <w:u w:val="single"/>
          </w:rPr>
          <w:t>https://doi.org/10.1016/j.explore.2009.06.008</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Marmot, M., Friel, S., Bell, R., Houweling, T. A., &amp; Taylor, S. (2008). Closing the gap in a generation: Health equity through action on the social determinants of health. </w:t>
      </w:r>
      <w:r w:rsidRPr="00B14CCC">
        <w:rPr>
          <w:rFonts w:ascii="Times New Roman" w:eastAsia="Times New Roman" w:hAnsi="Times New Roman" w:cs="Times New Roman"/>
          <w:i/>
          <w:iCs/>
          <w:sz w:val="24"/>
          <w:szCs w:val="24"/>
        </w:rPr>
        <w:t>The Lancet</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372</w:t>
      </w:r>
      <w:r w:rsidRPr="00B14CCC">
        <w:rPr>
          <w:rFonts w:ascii="Times New Roman" w:eastAsia="Times New Roman" w:hAnsi="Times New Roman" w:cs="Times New Roman"/>
          <w:sz w:val="24"/>
          <w:szCs w:val="24"/>
        </w:rPr>
        <w:t xml:space="preserve">(9650), 1661-1669. </w:t>
      </w:r>
      <w:hyperlink r:id="rId101" w:history="1">
        <w:r w:rsidRPr="00B14CCC">
          <w:rPr>
            <w:rFonts w:ascii="Times New Roman" w:eastAsia="Times New Roman" w:hAnsi="Times New Roman" w:cs="Times New Roman"/>
            <w:color w:val="0000FF"/>
            <w:sz w:val="24"/>
            <w:szCs w:val="24"/>
            <w:u w:val="single"/>
          </w:rPr>
          <w:t>https://doi.org/10.1016/S0140-6736(08)61690-6</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Mbweza, E., Norr, K. F., &amp; McElmurry, B. (2008). Collaboration between traditional birth attendants and nurses in rural Malawi. </w:t>
      </w:r>
      <w:r w:rsidRPr="00B14CCC">
        <w:rPr>
          <w:rFonts w:ascii="Times New Roman" w:eastAsia="Times New Roman" w:hAnsi="Times New Roman" w:cs="Times New Roman"/>
          <w:i/>
          <w:iCs/>
          <w:sz w:val="24"/>
          <w:szCs w:val="24"/>
        </w:rPr>
        <w:t>Journal of Nursing Scholarship</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40</w:t>
      </w:r>
      <w:r w:rsidRPr="00B14CCC">
        <w:rPr>
          <w:rFonts w:ascii="Times New Roman" w:eastAsia="Times New Roman" w:hAnsi="Times New Roman" w:cs="Times New Roman"/>
          <w:sz w:val="24"/>
          <w:szCs w:val="24"/>
        </w:rPr>
        <w:t xml:space="preserve">(2), 175-181. </w:t>
      </w:r>
      <w:hyperlink r:id="rId102" w:history="1">
        <w:r w:rsidRPr="00B14CCC">
          <w:rPr>
            <w:rFonts w:ascii="Times New Roman" w:eastAsia="Times New Roman" w:hAnsi="Times New Roman" w:cs="Times New Roman"/>
            <w:color w:val="0000FF"/>
            <w:sz w:val="24"/>
            <w:szCs w:val="24"/>
            <w:u w:val="single"/>
          </w:rPr>
          <w:t>https://doi.org/10.1111/j.1547-5069.2008.00220.x</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Medeiros, E. B., &amp; Faresin, P. (2019). Traditional birth attendants and midwives: Collaborative practice in the Alto Amazonas region of Peru. </w:t>
      </w:r>
      <w:r w:rsidRPr="00B14CCC">
        <w:rPr>
          <w:rFonts w:ascii="Times New Roman" w:eastAsia="Times New Roman" w:hAnsi="Times New Roman" w:cs="Times New Roman"/>
          <w:i/>
          <w:iCs/>
          <w:sz w:val="24"/>
          <w:szCs w:val="24"/>
        </w:rPr>
        <w:t>Midwifery</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75</w:t>
      </w:r>
      <w:r w:rsidRPr="00B14CCC">
        <w:rPr>
          <w:rFonts w:ascii="Times New Roman" w:eastAsia="Times New Roman" w:hAnsi="Times New Roman" w:cs="Times New Roman"/>
          <w:sz w:val="24"/>
          <w:szCs w:val="24"/>
        </w:rPr>
        <w:t xml:space="preserve">, 69-76. </w:t>
      </w:r>
      <w:hyperlink r:id="rId103" w:history="1">
        <w:r w:rsidRPr="00B14CCC">
          <w:rPr>
            <w:rFonts w:ascii="Times New Roman" w:eastAsia="Times New Roman" w:hAnsi="Times New Roman" w:cs="Times New Roman"/>
            <w:color w:val="0000FF"/>
            <w:sz w:val="24"/>
            <w:szCs w:val="24"/>
            <w:u w:val="single"/>
          </w:rPr>
          <w:t>https://doi.org/10.1016/j.midw.2019.04.009</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Ministerio de Salud </w:t>
      </w:r>
      <w:proofErr w:type="gramStart"/>
      <w:r w:rsidRPr="00B14CCC">
        <w:rPr>
          <w:rFonts w:ascii="Times New Roman" w:eastAsia="Times New Roman" w:hAnsi="Times New Roman" w:cs="Times New Roman"/>
          <w:sz w:val="24"/>
          <w:szCs w:val="24"/>
        </w:rPr>
        <w:t>del</w:t>
      </w:r>
      <w:proofErr w:type="gramEnd"/>
      <w:r w:rsidRPr="00B14CCC">
        <w:rPr>
          <w:rFonts w:ascii="Times New Roman" w:eastAsia="Times New Roman" w:hAnsi="Times New Roman" w:cs="Times New Roman"/>
          <w:sz w:val="24"/>
          <w:szCs w:val="24"/>
        </w:rPr>
        <w:t xml:space="preserve"> Perú. (2018). </w:t>
      </w:r>
      <w:r w:rsidRPr="00B14CCC">
        <w:rPr>
          <w:rFonts w:ascii="Times New Roman" w:eastAsia="Times New Roman" w:hAnsi="Times New Roman" w:cs="Times New Roman"/>
          <w:i/>
          <w:iCs/>
          <w:sz w:val="24"/>
          <w:szCs w:val="24"/>
        </w:rPr>
        <w:t>Plan nacional para la reducción y control de la anemia materno infantil y la desnutrición crónica infantil en el Perú: 2017-2021</w:t>
      </w:r>
      <w:r w:rsidRPr="00B14CCC">
        <w:rPr>
          <w:rFonts w:ascii="Times New Roman" w:eastAsia="Times New Roman" w:hAnsi="Times New Roman" w:cs="Times New Roman"/>
          <w:sz w:val="24"/>
          <w:szCs w:val="24"/>
        </w:rPr>
        <w:t>. MINSA.</w:t>
      </w:r>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Ministry of AYUSH. (2016). </w:t>
      </w:r>
      <w:r w:rsidRPr="00B14CCC">
        <w:rPr>
          <w:rFonts w:ascii="Times New Roman" w:eastAsia="Times New Roman" w:hAnsi="Times New Roman" w:cs="Times New Roman"/>
          <w:i/>
          <w:iCs/>
          <w:sz w:val="24"/>
          <w:szCs w:val="24"/>
        </w:rPr>
        <w:t>National AYUSH Mission: Operational guidelines</w:t>
      </w:r>
      <w:r w:rsidRPr="00B14CCC">
        <w:rPr>
          <w:rFonts w:ascii="Times New Roman" w:eastAsia="Times New Roman" w:hAnsi="Times New Roman" w:cs="Times New Roman"/>
          <w:sz w:val="24"/>
          <w:szCs w:val="24"/>
        </w:rPr>
        <w:t xml:space="preserve">. Government of India. </w:t>
      </w:r>
      <w:hyperlink r:id="rId104" w:history="1">
        <w:r w:rsidRPr="00B14CCC">
          <w:rPr>
            <w:rFonts w:ascii="Times New Roman" w:eastAsia="Times New Roman" w:hAnsi="Times New Roman" w:cs="Times New Roman"/>
            <w:color w:val="0000FF"/>
            <w:sz w:val="24"/>
            <w:szCs w:val="24"/>
            <w:u w:val="single"/>
          </w:rPr>
          <w:t>https://www.ayush.gov.in</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Mukherjee, P. K., &amp; Wahile, A. (2006). Integrated approaches towards drug development from Ayurveda and other Indian system of medicines. </w:t>
      </w:r>
      <w:r w:rsidRPr="00B14CCC">
        <w:rPr>
          <w:rFonts w:ascii="Times New Roman" w:eastAsia="Times New Roman" w:hAnsi="Times New Roman" w:cs="Times New Roman"/>
          <w:i/>
          <w:iCs/>
          <w:sz w:val="24"/>
          <w:szCs w:val="24"/>
        </w:rPr>
        <w:t>Journal of Ethnopharmacology</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103</w:t>
      </w:r>
      <w:r w:rsidRPr="00B14CCC">
        <w:rPr>
          <w:rFonts w:ascii="Times New Roman" w:eastAsia="Times New Roman" w:hAnsi="Times New Roman" w:cs="Times New Roman"/>
          <w:sz w:val="24"/>
          <w:szCs w:val="24"/>
        </w:rPr>
        <w:t xml:space="preserve">(1), 25-35. </w:t>
      </w:r>
      <w:hyperlink r:id="rId105" w:history="1">
        <w:r w:rsidRPr="00B14CCC">
          <w:rPr>
            <w:rFonts w:ascii="Times New Roman" w:eastAsia="Times New Roman" w:hAnsi="Times New Roman" w:cs="Times New Roman"/>
            <w:color w:val="0000FF"/>
            <w:sz w:val="24"/>
            <w:szCs w:val="24"/>
            <w:u w:val="single"/>
          </w:rPr>
          <w:t>https://doi.org/10.1016/j.jep.2005.09.024</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 xml:space="preserve">Patwardhan, B., Warude, D., Pushpangadan, P., &amp; Bhatt, N. (2004). Ayurveda and traditional Chinese medicine: A comparative overview. </w:t>
      </w:r>
      <w:r w:rsidRPr="00B14CCC">
        <w:rPr>
          <w:rFonts w:ascii="Times New Roman" w:eastAsia="Times New Roman" w:hAnsi="Times New Roman" w:cs="Times New Roman"/>
          <w:i/>
          <w:iCs/>
          <w:sz w:val="24"/>
          <w:szCs w:val="24"/>
        </w:rPr>
        <w:t>Evidence-Based Complementary and Alternative Medicine</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2</w:t>
      </w:r>
      <w:r w:rsidRPr="00B14CCC">
        <w:rPr>
          <w:rFonts w:ascii="Times New Roman" w:eastAsia="Times New Roman" w:hAnsi="Times New Roman" w:cs="Times New Roman"/>
          <w:sz w:val="24"/>
          <w:szCs w:val="24"/>
        </w:rPr>
        <w:t xml:space="preserve">(4), 465-473. </w:t>
      </w:r>
      <w:hyperlink r:id="rId106" w:history="1">
        <w:r w:rsidRPr="00B14CCC">
          <w:rPr>
            <w:rFonts w:ascii="Times New Roman" w:eastAsia="Times New Roman" w:hAnsi="Times New Roman" w:cs="Times New Roman"/>
            <w:color w:val="0000FF"/>
            <w:sz w:val="24"/>
            <w:szCs w:val="24"/>
            <w:u w:val="single"/>
          </w:rPr>
          <w:t>https://doi.org/10.1093/ecam/neh140</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Robinson, D. F. (2010). </w:t>
      </w:r>
      <w:r w:rsidRPr="00B14CCC">
        <w:rPr>
          <w:rFonts w:ascii="Times New Roman" w:eastAsia="Times New Roman" w:hAnsi="Times New Roman" w:cs="Times New Roman"/>
          <w:i/>
          <w:iCs/>
          <w:sz w:val="24"/>
          <w:szCs w:val="24"/>
        </w:rPr>
        <w:t>Confronting biopiracy: Challenges, cases and international debates</w:t>
      </w:r>
      <w:r w:rsidRPr="00B14CCC">
        <w:rPr>
          <w:rFonts w:ascii="Times New Roman" w:eastAsia="Times New Roman" w:hAnsi="Times New Roman" w:cs="Times New Roman"/>
          <w:sz w:val="24"/>
          <w:szCs w:val="24"/>
        </w:rPr>
        <w:t>. Earthscan.</w:t>
      </w:r>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Sibley, L. M., Sipe, T. A., Brown, C. M., Diallo, M. M., McNatt, K., &amp; Habarta, N. (2012). Traditional birth attendant training for improving health behaviours and pregnancy outcomes. </w:t>
      </w:r>
      <w:r w:rsidRPr="00B14CCC">
        <w:rPr>
          <w:rFonts w:ascii="Times New Roman" w:eastAsia="Times New Roman" w:hAnsi="Times New Roman" w:cs="Times New Roman"/>
          <w:i/>
          <w:iCs/>
          <w:sz w:val="24"/>
          <w:szCs w:val="24"/>
        </w:rPr>
        <w:t>Cochrane Database of Systematic Reviews</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8</w:t>
      </w:r>
      <w:r w:rsidRPr="00B14CCC">
        <w:rPr>
          <w:rFonts w:ascii="Times New Roman" w:eastAsia="Times New Roman" w:hAnsi="Times New Roman" w:cs="Times New Roman"/>
          <w:sz w:val="24"/>
          <w:szCs w:val="24"/>
        </w:rPr>
        <w:t xml:space="preserve">, CD005460. </w:t>
      </w:r>
      <w:hyperlink r:id="rId107" w:history="1">
        <w:r w:rsidRPr="00B14CCC">
          <w:rPr>
            <w:rFonts w:ascii="Times New Roman" w:eastAsia="Times New Roman" w:hAnsi="Times New Roman" w:cs="Times New Roman"/>
            <w:color w:val="0000FF"/>
            <w:sz w:val="24"/>
            <w:szCs w:val="24"/>
            <w:u w:val="single"/>
          </w:rPr>
          <w:t>https://doi.org/10.1002/14651858.CD005460.pub3</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Smith, L. T. (2012). </w:t>
      </w:r>
      <w:r w:rsidRPr="00B14CCC">
        <w:rPr>
          <w:rFonts w:ascii="Times New Roman" w:eastAsia="Times New Roman" w:hAnsi="Times New Roman" w:cs="Times New Roman"/>
          <w:i/>
          <w:iCs/>
          <w:sz w:val="24"/>
          <w:szCs w:val="24"/>
        </w:rPr>
        <w:t>Decolonizing methodologies: Research and indigenous peoples</w:t>
      </w:r>
      <w:r w:rsidRPr="00B14CCC">
        <w:rPr>
          <w:rFonts w:ascii="Times New Roman" w:eastAsia="Times New Roman" w:hAnsi="Times New Roman" w:cs="Times New Roman"/>
          <w:sz w:val="24"/>
          <w:szCs w:val="24"/>
        </w:rPr>
        <w:t xml:space="preserve"> (2nd </w:t>
      </w:r>
      <w:proofErr w:type="gramStart"/>
      <w:r w:rsidRPr="00B14CCC">
        <w:rPr>
          <w:rFonts w:ascii="Times New Roman" w:eastAsia="Times New Roman" w:hAnsi="Times New Roman" w:cs="Times New Roman"/>
          <w:sz w:val="24"/>
          <w:szCs w:val="24"/>
        </w:rPr>
        <w:t>ed</w:t>
      </w:r>
      <w:proofErr w:type="gramEnd"/>
      <w:r w:rsidRPr="00B14CCC">
        <w:rPr>
          <w:rFonts w:ascii="Times New Roman" w:eastAsia="Times New Roman" w:hAnsi="Times New Roman" w:cs="Times New Roman"/>
          <w:sz w:val="24"/>
          <w:szCs w:val="24"/>
        </w:rPr>
        <w:t>.). Zed Books.</w:t>
      </w:r>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Tehán Huaylinos, M. (2017). Parto vertical: Retornando a una costumbre ancestral. </w:t>
      </w:r>
      <w:r w:rsidRPr="00B14CCC">
        <w:rPr>
          <w:rFonts w:ascii="Times New Roman" w:eastAsia="Times New Roman" w:hAnsi="Times New Roman" w:cs="Times New Roman"/>
          <w:i/>
          <w:iCs/>
          <w:sz w:val="24"/>
          <w:szCs w:val="24"/>
        </w:rPr>
        <w:t>Revista Peruana de Ginecología y Obstetricia</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63</w:t>
      </w:r>
      <w:r w:rsidRPr="00B14CCC">
        <w:rPr>
          <w:rFonts w:ascii="Times New Roman" w:eastAsia="Times New Roman" w:hAnsi="Times New Roman" w:cs="Times New Roman"/>
          <w:sz w:val="24"/>
          <w:szCs w:val="24"/>
        </w:rPr>
        <w:t>(2), 241-244.</w:t>
      </w:r>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Tilburt, J. C., &amp; Kaptchuk, T. J. (2008). Herbal medicine research and global health: An ethical analysis. </w:t>
      </w:r>
      <w:r w:rsidRPr="00B14CCC">
        <w:rPr>
          <w:rFonts w:ascii="Times New Roman" w:eastAsia="Times New Roman" w:hAnsi="Times New Roman" w:cs="Times New Roman"/>
          <w:i/>
          <w:iCs/>
          <w:sz w:val="24"/>
          <w:szCs w:val="24"/>
        </w:rPr>
        <w:t>Bulletin of the World Health Organization</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86</w:t>
      </w:r>
      <w:r w:rsidRPr="00B14CCC">
        <w:rPr>
          <w:rFonts w:ascii="Times New Roman" w:eastAsia="Times New Roman" w:hAnsi="Times New Roman" w:cs="Times New Roman"/>
          <w:sz w:val="24"/>
          <w:szCs w:val="24"/>
        </w:rPr>
        <w:t xml:space="preserve">(8), 594-599. </w:t>
      </w:r>
      <w:hyperlink r:id="rId108" w:history="1">
        <w:r w:rsidRPr="00B14CCC">
          <w:rPr>
            <w:rFonts w:ascii="Times New Roman" w:eastAsia="Times New Roman" w:hAnsi="Times New Roman" w:cs="Times New Roman"/>
            <w:color w:val="0000FF"/>
            <w:sz w:val="24"/>
            <w:szCs w:val="24"/>
            <w:u w:val="single"/>
          </w:rPr>
          <w:t>https://doi.org/10.2471/BLT.07.042820</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Vicary, D., &amp; Westerman, T. (2004). 'That's just the way he is': Some implications of Aboriginal mental health beliefs. </w:t>
      </w:r>
      <w:r w:rsidRPr="00B14CCC">
        <w:rPr>
          <w:rFonts w:ascii="Times New Roman" w:eastAsia="Times New Roman" w:hAnsi="Times New Roman" w:cs="Times New Roman"/>
          <w:i/>
          <w:iCs/>
          <w:sz w:val="24"/>
          <w:szCs w:val="24"/>
        </w:rPr>
        <w:t>Australian e-Journal for the Advancement of Mental Health</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3</w:t>
      </w:r>
      <w:r w:rsidRPr="00B14CCC">
        <w:rPr>
          <w:rFonts w:ascii="Times New Roman" w:eastAsia="Times New Roman" w:hAnsi="Times New Roman" w:cs="Times New Roman"/>
          <w:sz w:val="24"/>
          <w:szCs w:val="24"/>
        </w:rPr>
        <w:t xml:space="preserve">(3), 103-112. </w:t>
      </w:r>
      <w:hyperlink r:id="rId109" w:history="1">
        <w:r w:rsidRPr="00B14CCC">
          <w:rPr>
            <w:rFonts w:ascii="Times New Roman" w:eastAsia="Times New Roman" w:hAnsi="Times New Roman" w:cs="Times New Roman"/>
            <w:color w:val="0000FF"/>
            <w:sz w:val="24"/>
            <w:szCs w:val="24"/>
            <w:u w:val="single"/>
          </w:rPr>
          <w:t>https://doi.org/10.5172/jamh.3.3.103</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World Health Organization. (1978). </w:t>
      </w:r>
      <w:r w:rsidRPr="00B14CCC">
        <w:rPr>
          <w:rFonts w:ascii="Times New Roman" w:eastAsia="Times New Roman" w:hAnsi="Times New Roman" w:cs="Times New Roman"/>
          <w:i/>
          <w:iCs/>
          <w:sz w:val="24"/>
          <w:szCs w:val="24"/>
        </w:rPr>
        <w:t>Declaration of Alma-Ata: International conference on primary health care</w:t>
      </w:r>
      <w:r w:rsidRPr="00B14CCC">
        <w:rPr>
          <w:rFonts w:ascii="Times New Roman" w:eastAsia="Times New Roman" w:hAnsi="Times New Roman" w:cs="Times New Roman"/>
          <w:sz w:val="24"/>
          <w:szCs w:val="24"/>
        </w:rPr>
        <w:t xml:space="preserve">. WHO. </w:t>
      </w:r>
      <w:hyperlink r:id="rId110" w:history="1">
        <w:r w:rsidRPr="00B14CCC">
          <w:rPr>
            <w:rFonts w:ascii="Times New Roman" w:eastAsia="Times New Roman" w:hAnsi="Times New Roman" w:cs="Times New Roman"/>
            <w:color w:val="0000FF"/>
            <w:sz w:val="24"/>
            <w:szCs w:val="24"/>
            <w:u w:val="single"/>
          </w:rPr>
          <w:t>https://www.who.int/publications/almaata_declaration_en.pdf</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World Health Organization. (2019). </w:t>
      </w:r>
      <w:r w:rsidRPr="00B14CCC">
        <w:rPr>
          <w:rFonts w:ascii="Times New Roman" w:eastAsia="Times New Roman" w:hAnsi="Times New Roman" w:cs="Times New Roman"/>
          <w:i/>
          <w:iCs/>
          <w:sz w:val="24"/>
          <w:szCs w:val="24"/>
        </w:rPr>
        <w:t>Primary health care on the road to universal health coverage: 2019 global monitoring report</w:t>
      </w:r>
      <w:r w:rsidRPr="00B14CCC">
        <w:rPr>
          <w:rFonts w:ascii="Times New Roman" w:eastAsia="Times New Roman" w:hAnsi="Times New Roman" w:cs="Times New Roman"/>
          <w:sz w:val="24"/>
          <w:szCs w:val="24"/>
        </w:rPr>
        <w:t xml:space="preserve">. WHO. </w:t>
      </w:r>
      <w:hyperlink r:id="rId111" w:history="1">
        <w:r w:rsidRPr="00B14CCC">
          <w:rPr>
            <w:rFonts w:ascii="Times New Roman" w:eastAsia="Times New Roman" w:hAnsi="Times New Roman" w:cs="Times New Roman"/>
            <w:color w:val="0000FF"/>
            <w:sz w:val="24"/>
            <w:szCs w:val="24"/>
            <w:u w:val="single"/>
          </w:rPr>
          <w:t>https://www.who.int/publications/i/item/9789241516341</w:t>
        </w:r>
      </w:hyperlink>
    </w:p>
    <w:p w:rsidR="008A40D3" w:rsidRPr="00B14CCC" w:rsidRDefault="008A40D3" w:rsidP="00B14CCC">
      <w:pPr>
        <w:pStyle w:val="ListParagraph"/>
        <w:numPr>
          <w:ilvl w:val="0"/>
          <w:numId w:val="8"/>
        </w:num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Yin, R. K. (2018). </w:t>
      </w:r>
      <w:r w:rsidRPr="00B14CCC">
        <w:rPr>
          <w:rFonts w:ascii="Times New Roman" w:eastAsia="Times New Roman" w:hAnsi="Times New Roman" w:cs="Times New Roman"/>
          <w:i/>
          <w:iCs/>
          <w:sz w:val="24"/>
          <w:szCs w:val="24"/>
        </w:rPr>
        <w:t>Case study research and applications: Design and methods</w:t>
      </w:r>
      <w:r w:rsidRPr="00B14CCC">
        <w:rPr>
          <w:rFonts w:ascii="Times New Roman" w:eastAsia="Times New Roman" w:hAnsi="Times New Roman" w:cs="Times New Roman"/>
          <w:sz w:val="24"/>
          <w:szCs w:val="24"/>
        </w:rPr>
        <w:t xml:space="preserve"> (6th </w:t>
      </w:r>
      <w:proofErr w:type="gramStart"/>
      <w:r w:rsidRPr="00B14CCC">
        <w:rPr>
          <w:rFonts w:ascii="Times New Roman" w:eastAsia="Times New Roman" w:hAnsi="Times New Roman" w:cs="Times New Roman"/>
          <w:sz w:val="24"/>
          <w:szCs w:val="24"/>
        </w:rPr>
        <w:t>ed</w:t>
      </w:r>
      <w:proofErr w:type="gramEnd"/>
      <w:r w:rsidRPr="00B14CCC">
        <w:rPr>
          <w:rFonts w:ascii="Times New Roman" w:eastAsia="Times New Roman" w:hAnsi="Times New Roman" w:cs="Times New Roman"/>
          <w:sz w:val="24"/>
          <w:szCs w:val="24"/>
        </w:rPr>
        <w:t>.). SAGE Publications.</w:t>
      </w:r>
    </w:p>
    <w:p w:rsidR="008A40D3" w:rsidRPr="00B14CCC" w:rsidRDefault="008A40D3" w:rsidP="00B14CCC">
      <w:pPr>
        <w:jc w:val="both"/>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br w:type="page"/>
      </w:r>
    </w:p>
    <w:p w:rsidR="00B74093" w:rsidRPr="00B14CCC" w:rsidRDefault="00B74093" w:rsidP="00B14CCC">
      <w:pPr>
        <w:jc w:val="center"/>
        <w:outlineLvl w:val="0"/>
        <w:rPr>
          <w:rFonts w:ascii="Times New Roman" w:eastAsia="Times New Roman" w:hAnsi="Times New Roman" w:cs="Times New Roman"/>
          <w:b/>
          <w:bCs/>
          <w:kern w:val="36"/>
          <w:sz w:val="36"/>
          <w:szCs w:val="24"/>
        </w:rPr>
      </w:pPr>
      <w:r w:rsidRPr="00B14CCC">
        <w:rPr>
          <w:rFonts w:ascii="Times New Roman" w:eastAsia="Times New Roman" w:hAnsi="Times New Roman" w:cs="Times New Roman"/>
          <w:b/>
          <w:bCs/>
          <w:kern w:val="36"/>
          <w:sz w:val="36"/>
          <w:szCs w:val="24"/>
        </w:rPr>
        <w:lastRenderedPageBreak/>
        <w:t>Intergenerational Transmission of Traditional Medical Knowledge: Challenges and Opportunities in Indigenous Communities</w:t>
      </w:r>
    </w:p>
    <w:p w:rsidR="00B14CCC" w:rsidRDefault="00B14CCC" w:rsidP="00B14CCC">
      <w:pPr>
        <w:spacing w:after="240"/>
        <w:jc w:val="center"/>
        <w:rPr>
          <w:rFonts w:ascii="Times New Roman" w:hAnsi="Times New Roman" w:cs="Times New Roman"/>
          <w:i/>
          <w:sz w:val="24"/>
          <w:szCs w:val="24"/>
        </w:rPr>
      </w:pPr>
      <w:r w:rsidRPr="00C93CED">
        <w:rPr>
          <w:rFonts w:ascii="Times New Roman" w:hAnsi="Times New Roman" w:cs="Times New Roman"/>
          <w:i/>
          <w:sz w:val="24"/>
          <w:szCs w:val="24"/>
        </w:rPr>
        <w:t xml:space="preserve">Dr. Evans Kofi </w:t>
      </w:r>
      <w:proofErr w:type="spellStart"/>
      <w:r w:rsidRPr="00C93CED">
        <w:rPr>
          <w:rFonts w:ascii="Times New Roman" w:hAnsi="Times New Roman" w:cs="Times New Roman"/>
          <w:i/>
          <w:sz w:val="24"/>
          <w:szCs w:val="24"/>
        </w:rPr>
        <w:t>Agbeno</w:t>
      </w:r>
      <w:proofErr w:type="spellEnd"/>
      <w:r>
        <w:rPr>
          <w:rFonts w:ascii="Times New Roman" w:hAnsi="Times New Roman" w:cs="Times New Roman"/>
          <w:i/>
          <w:sz w:val="24"/>
          <w:szCs w:val="24"/>
        </w:rPr>
        <w:t>,</w:t>
      </w:r>
      <w:r w:rsidRPr="00C93CED">
        <w:rPr>
          <w:rFonts w:ascii="Times New Roman" w:hAnsi="Times New Roman" w:cs="Times New Roman"/>
          <w:i/>
          <w:sz w:val="24"/>
          <w:szCs w:val="24"/>
        </w:rPr>
        <w:t xml:space="preserve"> Associate Professor, Department of Obstetrics and </w:t>
      </w:r>
      <w:proofErr w:type="spellStart"/>
      <w:r w:rsidRPr="00C93CED">
        <w:rPr>
          <w:rFonts w:ascii="Times New Roman" w:hAnsi="Times New Roman" w:cs="Times New Roman"/>
          <w:i/>
          <w:sz w:val="24"/>
          <w:szCs w:val="24"/>
        </w:rPr>
        <w:t>Gynaecology</w:t>
      </w:r>
      <w:proofErr w:type="spellEnd"/>
      <w:r>
        <w:rPr>
          <w:rFonts w:ascii="Times New Roman" w:hAnsi="Times New Roman" w:cs="Times New Roman"/>
          <w:i/>
          <w:sz w:val="24"/>
          <w:szCs w:val="24"/>
        </w:rPr>
        <w:t>,</w:t>
      </w:r>
      <w:r w:rsidRPr="00C93CED">
        <w:rPr>
          <w:rFonts w:ascii="Times New Roman" w:hAnsi="Times New Roman" w:cs="Times New Roman"/>
          <w:i/>
          <w:sz w:val="24"/>
          <w:szCs w:val="24"/>
        </w:rPr>
        <w:t xml:space="preserve"> University of Cape Coast </w:t>
      </w:r>
    </w:p>
    <w:p w:rsidR="00B14CCC" w:rsidRDefault="00B14CCC" w:rsidP="00B14CCC">
      <w:pPr>
        <w:jc w:val="both"/>
        <w:outlineLvl w:val="1"/>
        <w:rPr>
          <w:rFonts w:ascii="Times New Roman" w:eastAsia="Times New Roman" w:hAnsi="Times New Roman" w:cs="Times New Roman"/>
          <w:b/>
          <w:bCs/>
          <w:sz w:val="24"/>
          <w:szCs w:val="24"/>
        </w:rPr>
      </w:pPr>
    </w:p>
    <w:p w:rsidR="00B74093" w:rsidRPr="00B14CCC" w:rsidRDefault="00B74093" w:rsidP="00B14CCC">
      <w:pPr>
        <w:shd w:val="clear" w:color="auto" w:fill="EAF1DD" w:themeFill="accent3" w:themeFillTint="33"/>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Abstract</w:t>
      </w:r>
    </w:p>
    <w:p w:rsidR="00B74093" w:rsidRPr="00B14CCC" w:rsidRDefault="00B74093" w:rsidP="00B14CCC">
      <w:pPr>
        <w:shd w:val="clear" w:color="auto" w:fill="EAF1DD" w:themeFill="accent3" w:themeFillTint="33"/>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intergenerational transmission of traditional medical knowledge (TMK) within indigenous communities represents a critical intersection of cultural preservation, healthcare delivery, and intellectual property rights. This paper examines the mechanisms, challenges, and opportunities associated with the transfer of traditional healing practices across generations in indigenous populations worldwide. Through analysis of contemporary research and case studies, this study identifies key factors threatening TMK continuity, including globalization, language loss, migration patterns, and the erosion of traditional social structures. Simultaneously, the research explores emerging opportunities such as digital documentation initiatives, collaborative ethnobotanical research, and policy frameworks supporting indigenous knowledge systems. The findings reveal that successful TMK transmission requires multifaceted approaches combining traditional pedagogical methods with modern preservation technologies, while maintaining community sovereignty over knowledge systems. This research contributes to ongoing discussions about biocultural diversity conservation and provides recommendations for stakeholders including policymakers, healthcare professionals, and indigenous community leaders seeking to strengthen traditional knowledge transmission pathways.</w:t>
      </w:r>
    </w:p>
    <w:p w:rsidR="00B74093" w:rsidRPr="00B14CCC" w:rsidRDefault="00B74093" w:rsidP="00B14CCC">
      <w:pPr>
        <w:shd w:val="clear" w:color="auto" w:fill="EAF1DD" w:themeFill="accent3" w:themeFillTint="33"/>
        <w:jc w:val="both"/>
        <w:rPr>
          <w:rFonts w:ascii="Times New Roman" w:eastAsia="Times New Roman" w:hAnsi="Times New Roman" w:cs="Times New Roman"/>
          <w:sz w:val="24"/>
          <w:szCs w:val="24"/>
        </w:rPr>
      </w:pPr>
      <w:r w:rsidRPr="00B14CCC">
        <w:rPr>
          <w:rFonts w:ascii="Times New Roman" w:eastAsia="Times New Roman" w:hAnsi="Times New Roman" w:cs="Times New Roman"/>
          <w:b/>
          <w:bCs/>
          <w:sz w:val="24"/>
          <w:szCs w:val="24"/>
        </w:rPr>
        <w:t>Keywords:</w:t>
      </w:r>
      <w:r w:rsidRPr="00B14CCC">
        <w:rPr>
          <w:rFonts w:ascii="Times New Roman" w:eastAsia="Times New Roman" w:hAnsi="Times New Roman" w:cs="Times New Roman"/>
          <w:sz w:val="24"/>
          <w:szCs w:val="24"/>
        </w:rPr>
        <w:t xml:space="preserve"> Traditional medical knowledge, indigenous communities, intergenerational transmission, cultural preservation, ethnomedicine, knowledge systems</w:t>
      </w:r>
    </w:p>
    <w:p w:rsidR="00B74093" w:rsidRPr="00B14CCC" w:rsidRDefault="00B74093"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Introduction</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Traditional medical knowledge encompasses the cumulative body of practices, beliefs, and understandings concerning health, illness, and healing that indigenous and local communities have developed through centuries of interaction with their environments (World Health Organization, 2019). This knowledge system represents far more than a collection of remedies; it embodies sophisticated philosophical frameworks, diagnostic methodologies, and therapeutic approaches that have sustained human populations for millennia. The transmission of this knowledge from elders to younger generations has historically occurred through oral traditions, apprenticeship models, ceremonial practices, and embedded cultural activities that interweave medical understanding with broader worldviews and spiritual practices.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Contemporary indigenous communities face unprecedented challenges in maintaining the continuity of traditional medical knowledge transmission. The convergence of multiple factors including rapid urbanization, formal education systems that prioritize Western epistemologies, language endangerment, and the breakdown of extended family structures has disrupted traditional knowledge transfer mechanisms (Beltran-Vargas et al., 2020). Research indicates that approximately forty percent of the world's estimated 7,000 languages are endangered, with indigenous languages particularly vulnerable, representing a critical threat to TMK preservation since medical knowledge is often embedded in linguistic structures and culturally specific terminologies (United Nations Educational, Scientific and Cultural Organization, 2021). Furthermore, the increasing integration of indigenous youth into mainstream economic systems often creates temporal and spatial distances from knowledge holders, fragmenting the intimate, long-term relationships traditionally necessary for comprehensive knowledge transmission.</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Despite these challenges, the contemporary moment also presents unique opportunities for strengthening TMK transmission. Growing recognition of the value of traditional medicine within global health frameworks, increasing legal protections for indigenous intellectual property, and technological innovations enabling new forms of documentation and education are creating novel pathways for knowledge preservation and transfer (Albuquerque et al., 2019). International instruments such as the United Nations Declaration on the Rights of Indigenous Peoples and the Convention on Biological Diversity's Nagoya Protocol have established frameworks recognizing indigenous peoples' rights to maintain, control, protect, and develop their traditional knowledge, including medical knowledge systems. Additionally, collaborative research partnerships between indigenous communities and academic institutions are generating models for ethical knowledge documentation that respect community sovereignty while contributing to broader understanding of medicinal biodiversity and therapeutic efficacy.</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significance of TMK extends beyond cultural preservation to encompass critical dimensions of global healthcare, biodiversity conservation, and sustainable development. Studies estimate that between sixty and eighty percent of populations in developing countries rely primarily on traditional medicine for their healthcare needs, while pharmaceutical research continues to derive substantial value from indigenous knowledge of medicinal plants (World Health Organization, 2019). The ethnobotanical knowledge embedded within traditional medical systems has contributed to the development of numerous modern pharmaceuticals, with recent analyses suggesting that approximately forty percent of pharmaceutical compounds are derived from natural products, many identified through traditional use (Atanasov et al., 2021). Beyond utilitarian considerations, TMK represents irreplaceable cultural heritage embodying indigenous epistemologies, cosmologies, and relationships with the natural world that offer alternative paradigms for understanding health, healing, and human-environment interactions.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This paper examines the multifaceted dimensions of intergenerational TMK transmission within indigenous communities, analyzing both the obstacles threatening continuity and the emerging strategies supporting knowledge preservation and transfer. The research </w:t>
      </w:r>
      <w:r w:rsidRPr="00B14CCC">
        <w:rPr>
          <w:rFonts w:ascii="Times New Roman" w:eastAsia="Times New Roman" w:hAnsi="Times New Roman" w:cs="Times New Roman"/>
          <w:sz w:val="24"/>
          <w:szCs w:val="24"/>
        </w:rPr>
        <w:lastRenderedPageBreak/>
        <w:t>investigates traditional transmission mechanisms, contemporary disruptions to these systems, case studies demonstrating successful adaptation strategies, and policy frameworks supporting TMK preservation. By synthesizing current scholarship and empirical evidence, this study aims to provide comprehensive analysis relevant to diverse stakeholders including indigenous community leaders, policymakers, healthcare professionals, conservation practitioners, and researchers engaged with traditional knowledge systems. The ultimate objective is to contribute actionable insights that can support indigenous communities in maintaining sovereignty over their medical knowledge while adapting transmission mechanisms to contemporary contexts in ways that honor traditional values and practices.</w:t>
      </w:r>
    </w:p>
    <w:p w:rsidR="00B74093" w:rsidRPr="00B14CCC" w:rsidRDefault="00B74093"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Traditional Mechanisms of Knowledge Transmission</w:t>
      </w:r>
    </w:p>
    <w:p w:rsidR="00B74093" w:rsidRPr="00B14CCC" w:rsidRDefault="00B74093"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Oral Transmission and Experiential Learning</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primary mechanism through which traditional medical knowledge has been transmitted across generations involves oral communication embedded within broader cultural practices and social relationships. Unlike written documentation systems that externalize knowledge, oral transmission creates intimate bonds between knowledge holders and learners, ensuring that medical understanding is transferred within appropriate cultural contexts and ethical frameworks (Reyes-García et al., 2021). This transmission typically occurs through narrative forms including stories, songs, proverbs, and ceremonial teachings that encode medical knowledge within memorable formats. The oral tradition ensures that knowledge remains dynamic and contextual, allowing for adaptation based on changing environmental conditions, community needs, and individual circumstances while maintaining core principles and practices.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Experiential learning represents the cornerstone of traditional medical education, with knowledge transmission occurring through observation, participation, and gradual assumption of responsibility under the guidance of experienced practitioners. Apprenticeship models create extended learning relationships spanning years or decades, during which learners accompany healers during plant collection, preparation of remedies, diagnostic consultations, and therapeutic interventions (Nesheim et al., 2017). This immersive approach allows learners to develop not only technical skills but also the sensory discernment, intuitive capacities, and ethical orientations considered essential for effective healing practice. The experiential dimension ensures that learners understand the holistic context of healing practices, including appropriate timing for plant collection, ritual protocols, patient communication strategies, and the spiritual dimensions of healing that cannot be adequately conveyed through abstract instruction alone.</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effectiveness of oral and experiential transmission relies heavily on specific social and temporal conditions that facilitate knowledge transfer. Traditional systems typically involve prolonged periods of cohabitation between elders and youth, creating numerous informal opportunities for knowledge sharing integrated into daily activities such as food preparation, agricultural work, and ceremonial participation (Zarger &amp; Stepp, 2004). These everyday contexts allow medical knowledge to be transmitted incrementally and repeatedly, with </w:t>
      </w:r>
      <w:r w:rsidRPr="00B14CCC">
        <w:rPr>
          <w:rFonts w:ascii="Times New Roman" w:eastAsia="Times New Roman" w:hAnsi="Times New Roman" w:cs="Times New Roman"/>
          <w:sz w:val="24"/>
          <w:szCs w:val="24"/>
        </w:rPr>
        <w:lastRenderedPageBreak/>
        <w:t>concepts reinforced through varied applications and seasonal cycles. Research has documented that children in traditional settings acquire substantial ethnobotanical knowledge through participation in routine activities, developing sophisticated understanding of plant species, ecological relationships, and medicinal applications before formal instruction begins. This embedded learning approach contrasts sharply with compartmentalized modern education systems, where specialized knowledge is separated from daily life and concentrated in formal institutional settings.</w:t>
      </w:r>
    </w:p>
    <w:p w:rsidR="00B74093" w:rsidRPr="00B14CCC" w:rsidRDefault="00B74093"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Kinship-Based Transmission Networks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Traditional medical knowledge transmission frequently operates within kinship structures that determine appropriate knowledge holders and learners based on familial relationships, lineage affiliations, and inherited roles (Cámara-Leret et al., 2019). Many indigenous medical traditions recognize specific family lines or clans as custodians of particular healing knowledge, with transmission occurring preferentially or exclusively among designated relatives. These kinship-based systems ensure knowledge continuity through clearly defined succession pathways while maintaining social mechanisms for knowledge protection and appropriate use. The family context provides natural mentorship relationships, with grandparents often playing pivotal roles in transmitting medical knowledge to grandchildren, creating intergenerational bonds that facilitate extended learning periods and ensure cultural continuity.</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Gender considerations frequently structure TMK transmission patterns, with certain types of medical knowledge and healing practices associated specifically with women or men based on cultural norms, physiological specializations, and cosmological understandings (Vandebroek et al., 2011). Women's roles in traditional medicine often encompass reproductive health, pediatric care, nutritional medicine, and the cultivation and processing of medicinal plants, with transmission occurring through female lineages and women's spaces. Male healing traditions may focus on hunting injuries, external traumas, spiritual dimensions of illness, and ceremonial healing practices. These gendered transmission patterns ensure that knowledge relevant to specific life experiences and social roles is transferred by practitioners with lived understanding of the contexts in which such knowledge will be applied. However, contemporary gender dynamics and changing social roles are transforming some traditional transmission patterns, creating both disruptions and opportunities for adapting knowledge transfer mechanisms.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kinship-based transmission system embeds medical knowledge within broader social obligations, reciprocal relationships, and collective identities that reinforce learning motivation and knowledge stewardship (Leonti, 2011). When medical knowledge is understood as family heritage and collective property rather than individual possession, learners experience transmission as participation in ancestral lineages and fulfillment of social responsibilities. This cultural framing creates powerful incentives for serious engagement with learning processes and careful knowledge stewardship. Additionally, kinship networks provide social accountability mechanisms, with family reputation and community standing linked to appropriate knowledge use and maintenance of healing </w:t>
      </w:r>
      <w:r w:rsidRPr="00B14CCC">
        <w:rPr>
          <w:rFonts w:ascii="Times New Roman" w:eastAsia="Times New Roman" w:hAnsi="Times New Roman" w:cs="Times New Roman"/>
          <w:sz w:val="24"/>
          <w:szCs w:val="24"/>
        </w:rPr>
        <w:lastRenderedPageBreak/>
        <w:t>efficacy. These social dimensions of knowledge transmission cannot be easily replicated in formal educational settings divorced from community contexts and relationships.</w:t>
      </w:r>
    </w:p>
    <w:p w:rsidR="00B74093" w:rsidRPr="00B14CCC" w:rsidRDefault="00B74093"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Ceremonial and Ritual Contexts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Ceremonial and ritual contexts represent crucial settings for TMK transmission, serving as concentrated educational events where medical knowledge is dramatically enacted, reinforced, and transferred (Srithi et al., 2012). Healing ceremonies often involve multiple knowledge holders and community participants, creating opportunities for learners to observe complex therapeutic practices, diagnostic procedures, and the integration of medical, spiritual, and social dimensions of healing. Initiation rites, seasonal ceremonies, and life-cycle rituals frequently incorporate medical teachings relevant to the ceremonial context, such as protective medicines, purification practices, or therapeutic interventions addressing specific health concerns. The ceremonial setting imbues medical knowledge with sacred significance, emphasizing the spiritual responsibilities accompanying healing knowledge and practice.</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Ritual protocols governing ceremony participation create structured learning progressions that parallel medical apprenticeship pathways (Zent &amp; Zent, 2004). Many indigenous traditions restrict access to certain ceremonial knowledge and participation based on initiation status, age, gender, or demonstrated competence and character, creating incentive structures motivating serious engagement with learning processes. As individuals advance through ceremonial grades or initiation levels, they gain access to increasingly sophisticated medical knowledge and healing practices, with each stage building upon previous learning. This progressive revelation of knowledge ensures that learners have adequate foundation before receiving complex or powerful medical teachings, while also creating mechanisms for evaluating learner readiness and commitment.</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multisensory and performative nature of ceremonial transmission creates powerful mnemonic aids facilitating knowledge retention and recall (Gomez-Baggethun et al., 2010). The combination of visual imagery, soundscapes, physical movements, emotional experiences, and social interactions characteristic of ceremonies creates rich cognitive anchors for medical information. Songs and chants often encode medicinal plant knowledge, preparation procedures, and therapeutic applications in forms designed for memorization and precise reproduction across generations. Dance movements may represent plant identification features, collection procedures, or healing gestures incorporated into therapeutic practices. The ceremonial integration of multiple communication modes ensures that knowledge is accessible to learners with diverse learning styles while creating redundant encoding that protects against information loss.</w:t>
      </w:r>
    </w:p>
    <w:p w:rsidR="00B74093" w:rsidRPr="00B14CCC" w:rsidRDefault="00B74093"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Contemporary Challenges to Knowledge Transmission</w:t>
      </w:r>
    </w:p>
    <w:p w:rsidR="00B74093" w:rsidRPr="00B14CCC" w:rsidRDefault="00B74093"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Language Loss and Documentation Gaps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Language endangerment represents one of the most critical threats to TMK transmission, as medical knowledge is deeply embedded in indigenous linguistic structures, specialized </w:t>
      </w:r>
      <w:r w:rsidRPr="00B14CCC">
        <w:rPr>
          <w:rFonts w:ascii="Times New Roman" w:eastAsia="Times New Roman" w:hAnsi="Times New Roman" w:cs="Times New Roman"/>
          <w:sz w:val="24"/>
          <w:szCs w:val="24"/>
        </w:rPr>
        <w:lastRenderedPageBreak/>
        <w:t>terminologies, and culturally specific conceptual frameworks (Maffi, 2005). Indigenous languages encode sophisticated classificatory systems for plants, animals, illnesses, and therapeutic processes that often lack direct equivalents in dominant languages. The loss of indigenous languages therefore entails not merely translation challenges but the erosion of entire conceptual frameworks through which medical knowledge is organized, understood, and applied. Research across multiple indigenous communities has documented strong correlations between language maintenance and retention of traditional ecological knowledge, including medical knowledge, with language shift to dominant languages associated with significant knowledge erosion among younger generations (Reyes-García et al., 2013).</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processes of language shift typically accelerate in contexts where indigenous children attend formal education systems conducted exclusively in dominant languages, participate in national economies requiring fluency in official languages, and engage with media and technology platforms that privilege linguistic majorities. As indigenous languages become increasingly restricted to domestic and ceremonial domains, technical vocabularies including medical terminologies are particularly vulnerable to loss (Harrison, 2007). Youth may maintain conversational fluency in indigenous languages while losing access to specialized lexicons necessary for discussing medical concepts, plant identifications, and therapeutic procedures. This partial language competence creates barriers to TMK transmission even when youth retain linguistic connections to their heritage.</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Documentation efforts aimed at preserving endangered medical knowledge face substantial methodological and ethical challenges that complicate knowledge preservation (Aswani et al., 2018). Written documentation necessarily transforms oral knowledge, potentially altering meanings, removing contextual information, and creating static representations of dynamic knowledge systems. Many aspects of traditional medical knowledge resist reduction to written forms, including experiential knowledge, sensory discernments, intuitive insights, and spiritual dimensions of healing. Furthermore, documentation raises concerns about knowledge commodification, unauthorized access, and loss of indigenous control over knowledge systems. Communities have legitimate concerns about documentation projects potentially facilitating biopiracy, cultural appropriation, or commercial exploitation of traditional knowledge without appropriate benefit-sharing or consent. These tensions between preservation imperatives and risks associated with documentation create complex dilemmas for communities seeking to maintain knowledge continuity.</w:t>
      </w:r>
    </w:p>
    <w:p w:rsidR="00B74093" w:rsidRPr="00B14CCC" w:rsidRDefault="00B74093"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Educational Systems and Knowledge Devaluation</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expansion of formal education systems following Western models represents a double-edged phenomenon regarding TMK transmission, simultaneously creating opportunities for indigenous youth while often undermining traditional knowledge systems and transmission mechanisms (Beltran-Vargas et al., 2020). Formal schooling typically requires extended periods of absence from communities, removing youth from contexts where traditional knowledge transmission occurs and limiting opportunities for experiential learning with elders. The temporal and spatial organization of formal education conflicts with traditional </w:t>
      </w:r>
      <w:r w:rsidRPr="00B14CCC">
        <w:rPr>
          <w:rFonts w:ascii="Times New Roman" w:eastAsia="Times New Roman" w:hAnsi="Times New Roman" w:cs="Times New Roman"/>
          <w:sz w:val="24"/>
          <w:szCs w:val="24"/>
        </w:rPr>
        <w:lastRenderedPageBreak/>
        <w:t>learning rhythms, seasonal knowledge requirements, and the extended apprenticeships necessary for comprehensive medical training. Students may be absent from communities during critical teaching moments such as seasonal plant collections, ceremonial events, or healing practices tied to specific times and circumstances.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Beyond logistical challenges, formal education systems often implicitly or explicitly devalue traditional knowledge systems through curricula that privilege Western scientific paradigms and marginalize indigenous epistemologies (Mazzocchi, 2006). When indigenous students encounter educational content presenting Western medicine as scientifically validated while ignoring or dismissing traditional healing practices, they receive powerful messages about the relative legitimacy and value of different knowledge systems. This epistemic hierarchization can undermine students' interest in traditional knowledge and create internalized perceptions that indigenous medical practices are backward, superstitious, or inferior to biomedical approaches. Research has documented correlations between formal education levels and decreased traditional knowledge, particularly among younger generations who spend extended periods in educational institutions removed from community contexts.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assessment and credentialing systems characteristic of formal education create further tensions with traditional knowledge transmission (Agrawal, 2002). Traditional medical knowledge is typically not evaluated through examinations or academic credentials but rather through demonstrated competence, community recognition, and healing outcomes. The lack of formal recognition for traditional medical training creates practical disincentives for indigenous youth, who may perceive limited economic opportunities or social prestige associated with traditional healing paths compared to biomedical careers requiring formal credentials. This asymmetry in recognition and reward structures can redirect ambitious youth away from traditional knowledge systems even when cultural commitment and interest exist. Additionally, the individualistic orientation of formal education contrasts with the communal knowledge frameworks characteristic of many indigenous traditions, potentially fostering values misaligned with traditional approaches to knowledge as collective heritage.</w:t>
      </w:r>
    </w:p>
    <w:p w:rsidR="00B74093" w:rsidRPr="00B14CCC" w:rsidRDefault="00B74093"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Socioeconomic Transformations and Migration</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Economic pressures and livelihood transformations represent powerful forces disrupting traditional patterns of TMK transmission across indigenous communities worldwide (Quinlan &amp; Quinlan, 2007). As indigenous economies increasingly integrate with national and global market systems, survival often requires participation in wage labor, cash cropping, or other economic activities that alter time allocation, settlement patterns, and social relationships. Youth particularly face pressures to pursue economic opportunities requiring migration to urban centers, participation in formal labor markets, or educational pathways oriented toward non-traditional livelihoods. These economic realities create spatial and temporal distances from elders and community contexts where traditional medical knowledge transmission historically occurred, fragmenting the extended interactions necessary for comprehensive learning.</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Migration from traditional territories to urban and peri-urban areas represents an especially significant challenge for TMK continuity, as migrant youth lose access to both knowledge holders and the ecological contexts in which medical knowledge is grounded (Reyes-García et al., 2013). Traditional medical systems are typically place-based, with knowledge intrinsically linked to specific landscapes, ecosystems, and plant communities that exist in ancestral territories. Urban environments lack the medicinal plant diversity necessary for practical engagement with traditional pharmacopoeias, limiting opportunities for experiential learning even when youth maintain some contact with knowledgeable elders. Furthermore, urban indigenous populations often face discrimination, marginalization, and pressure to assimilate into dominant cultures, creating social environments where traditional knowledge expression may be stigmatized or considered inappropriate.</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transformation of indigenous subsistence economies toward market-oriented production has altered the everyday contexts through which medical knowledge was traditionally transmitted alongside other livelihood practices (Guest, 2002). As indigenous communities shift from diverse subsistence strategies involving hunting, gathering, fishing, and traditional agriculture toward specialized market production, youth lose exposure to the full range of ecological contexts and plant communities encompassing medicinal species. Traditional food systems embedded significant medical knowledge, with many food plants possessing therapeutic properties and food preparation incorporating medicinal principles. The erosion of traditional food systems therefore entails loss of everyday contexts for medical knowledge transmission. Additionally, economic specialization may limit the time available for traditional knowledge learning, as increased labor demands focused on market production reduce capacity for extended apprenticeships or knowledge-sharing activities.</w:t>
      </w:r>
    </w:p>
    <w:p w:rsidR="00B74093" w:rsidRPr="00B14CCC" w:rsidRDefault="00B74093"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Intellectual Property Concerns and Knowledge Commodification</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increasing recognition of economic value associated with traditional medical knowledge has created complex challenges regarding knowledge ownership, control, and transmission (Robinson, 2010). Indigenous communities have experienced numerous instances of biopiracy, where researchers, pharmaceutical companies, or other external actors have appropriated traditional knowledge for commercial development without appropriate consent, recognition, or benefit-sharing. These experiences have understandably generated cautious attitudes regarding knowledge sharing, documentation, and transmission, with some communities restricting knowledge access even to younger generation members out of concern about inappropriate disclosure or exploitation. The tension between knowledge preservation imperatives and protection concerns creates difficult dilemmas for communities seeking to balance continuity with control.</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Formal intellectual property systems developed within Western legal frameworks often prove inadequate for protecting traditional medical knowledge, which is typically collective, orally transmitted, and lacking the novelty and identifiable authorship required for patents or copyrights (Dutfield, 2000). Traditional knowledge may be considered "prior art" that prevents others from obtaining patents but does not provide indigenous communities with positive rights to control knowledge use or claim ownership. The temporal depth of </w:t>
      </w:r>
      <w:r w:rsidRPr="00B14CCC">
        <w:rPr>
          <w:rFonts w:ascii="Times New Roman" w:eastAsia="Times New Roman" w:hAnsi="Times New Roman" w:cs="Times New Roman"/>
          <w:sz w:val="24"/>
          <w:szCs w:val="24"/>
        </w:rPr>
        <w:lastRenderedPageBreak/>
        <w:t>traditional knowledge often exceeds the time limits associated with intellectual property protections designed for innovations with clear origins and inventors. Furthermore, the spiritual and cultural dimensions of medical knowledge resist commodification and may be considered inappropriate for property regimes treating knowledge as economic assets. These fundamental mismatches between indigenous knowledge systems and dominant intellectual property frameworks create ongoing vulnerabilities and disincentives for open knowledge transmission.</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emergence of benefit-sharing frameworks, bioprospecting regulations, and prior informed consent protocols represents progress toward more equitable relationships with traditional knowledge, but implementation challenges and enforcement limitations persist (Laird &amp; Wynberg, 2008). Even well-intentioned collaborative research projects face difficulties navigating community governance structures, determining appropriate benefit distribution, and ensuring ongoing indigenous control over knowledge use. The technical complexity of benefit-sharing negotiations and the power asymmetries between indigenous communities and research institutions or corporations create risks of agreements that inadequately protect community interests. These concerns may lead communities to restrict external knowledge sharing while simultaneously limiting internal transmission due to fears about documentation creating vulnerabilities to appropriation. The resulting tensions between access and control can inadvertently accelerate knowledge loss even as communities seek to protect their heritage.</w:t>
      </w:r>
    </w:p>
    <w:p w:rsidR="00B74093" w:rsidRPr="00B14CCC" w:rsidRDefault="00B74093"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Opportunities and Innovative Approaches</w:t>
      </w:r>
    </w:p>
    <w:p w:rsidR="00B74093" w:rsidRPr="00B14CCC" w:rsidRDefault="00B74093"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Collaborative Documentation and Digital Technologies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Digital technologies and multimedia platforms are creating unprecedented opportunities for TMK documentation in formats that can capture dimensions of knowledge difficult to convey through text alone (Lercari et al., 2018). Video documentation allows preservation of demonstration-based knowledge, showing plant identification in natural habitats, preparation procedures, therapeutic techniques, and contextual information about appropriate use. Audio recordings preserve the linguistic dimensions of knowledge including songs, chants, and oral teachings in indigenous languages, maintaining pronunciation, intonation, and the performative aspects of knowledge transmission. Geographic information systems can map medicinal plant distributions, traditional collection sites, and the spatial dimensions of medical knowledge. Three-dimensional imaging and virtual reality technologies offer possibilities for creating immersive learning environments that approximate experiential aspects of traditional knowledge transmission.</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Community-controlled digital archives are emerging as important tools for knowledge preservation that maintain indigenous sovereignty over documentation while making materials accessible for internal educational purposes (Christen, 2015). These platforms allow communities to determine access protocols, with certain materials available only to community members or restricted to specific age groups, genders, or knowledge-holding roles consistent with traditional access patterns. Digital repatriation initiatives are returning </w:t>
      </w:r>
      <w:r w:rsidRPr="00B14CCC">
        <w:rPr>
          <w:rFonts w:ascii="Times New Roman" w:eastAsia="Times New Roman" w:hAnsi="Times New Roman" w:cs="Times New Roman"/>
          <w:sz w:val="24"/>
          <w:szCs w:val="24"/>
        </w:rPr>
        <w:lastRenderedPageBreak/>
        <w:t>historical documentation, including ethnographic recordings and photographs, to source communities, providing access to knowledge recorded by previous generations that may support contemporary transmission efforts. Mobile applications and interactive platforms designed in partnership with indigenous communities are creating culturally appropriate educational tools that youth can access through familiar technologies, potentially bridging generational divides in technology use while supporting knowledge learning.</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However, digital documentation approaches require careful consideration of ethical dimensions, technological sustainability, and the potential limitations of decontextualized knowledge (Anderson, 2012). Digital technologies are not neutral tools but embody particular epistemological assumptions and organizational logics that may conflict with indigenous knowledge systems. Database structures requiring taxonomic classification may impose Western categorical frameworks inconsistent with indigenous knowledge organization. The searchability and extractability of digital information can fragment holistic knowledge systems, allowing isolated facts to be accessed without adequate contextual understanding or ethical framing. Additionally, rapid technological change creates risks of digital obsolescence, with documentation formats becoming inaccessible as software and hardware evolve. Communities undertaking digital documentation must consider long-term preservation strategies and ensure that documentation enhances rather than replaces oral transmission and experiential learning.</w:t>
      </w:r>
    </w:p>
    <w:p w:rsidR="00B74093" w:rsidRPr="00B14CCC" w:rsidRDefault="00B74093"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Intercultural Education and Knowledge Integration</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development of intercultural education models that meaningfully incorporate indigenous knowledge systems represents a significant opportunity for supporting TMK transmission while addressing the educational needs of indigenous youth (Tuhiwai Smith, 2012). These approaches seek to create educational environments that value both indigenous and Western knowledge systems, presenting them as complementary rather than competing frameworks. Intercultural curricula might include indigenous language instruction, culturally grounded science education that explores traditional ecological knowledge alongside Western biology, and elective courses focused on traditional medicine taught by recognized knowledge holders. Some indigenous communities have established culture and language immersion programs, schools based on traditional pedagogies, or educational tracks specifically designed to support traditional knowledge transmission alongside academic skill development.</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Collaborative research partnerships between indigenous communities and academic institutions are generating models for ethical knowledge documentation and transmission that respect community priorities and maintain indigenous control over knowledge systems (Pyburn &amp; Wyndham, 2018). Participatory research methodologies position community members as co-researchers defining research questions, methodologies, and knowledge applications rather than merely serving as research subjects or informants. Community-based participatory research in ethnobotany and ethnomedicine has produced documentation supporting language revitalization, educational curriculum development, and strengthened intergenerational knowledge transmission while simultaneously contributing to scientific </w:t>
      </w:r>
      <w:r w:rsidRPr="00B14CCC">
        <w:rPr>
          <w:rFonts w:ascii="Times New Roman" w:eastAsia="Times New Roman" w:hAnsi="Times New Roman" w:cs="Times New Roman"/>
          <w:sz w:val="24"/>
          <w:szCs w:val="24"/>
        </w:rPr>
        <w:lastRenderedPageBreak/>
        <w:t>understanding of medicinal biodiversity and therapeutic efficacy. These partnerships work most effectively when they involve long-term relationships, capacity building within communities, and institutional commitments to respect indigenous intellectual property rights and cultural protocols.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Integration of traditional medical knowledge within official healthcare systems represents another avenue for knowledge validation and transmission support, though implementation requires careful attention to maintaining traditional practice integrity (World Health Organization, 2019). Some jurisdictions have developed regulatory frameworks recognizing traditional healers, creating licensing or registration systems that formalize traditional medical practice while potentially creating economic incentives for youth to pursue traditional healing paths. Government support for traditional medicine clinics, incorporation of traditional healing within public health programs, and insurance coverage for traditional therapies can enhance social recognition of traditional medicine and create livelihood opportunities for knowledge holders. However, formalization processes risk transforming traditional practices, imposing bureaucratic requirements, and extracting healing from cultural contexts in ways that may undermine rather than support authentic knowledge transmission.</w:t>
      </w:r>
    </w:p>
    <w:p w:rsidR="00B74093" w:rsidRPr="00B14CCC" w:rsidRDefault="00B74093"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Policy Frameworks and Indigenous Rights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International policy frameworks increasingly recognize indigenous peoples' rights to maintain, control, protect, and develop their traditional knowledge, including medical knowledge systems (United Nations, 2007). The United Nations Declaration on the Rights of Indigenous Peoples affirms the rights of indigenous peoples to practice and revitalize their cultural traditions and customs, maintain and strengthen their distinct political, legal, economic, social and cultural institutions, and maintain their traditional medicines and health practices. The Convention on Biological Diversity's Nagoya Protocol establishes principles for access and benefit-sharing related to genetic resources and associated traditional knowledge, requiring prior informed consent from indigenous communities and equitable sharing of benefits arising from traditional knowledge use. The World Intellectual Property Organization's Intergovernmental Committee continues developing international legal instruments for protecting traditional knowledge, traditional cultural expressions, and genetic resources.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National and subnational policy frameworks in various jurisdictions are implementing these international principles through constitutional provisions, legislation, and regulatory mechanisms supporting indigenous knowledge systems (Posey &amp; Dutfield, 1996). Some countries have established registries or databases of traditional knowledge as defensive measures preventing unauthorized patenting of indigenous knowledge by third parties. Others have developed sui generis intellectual property systems designed specifically for traditional knowledge, creating rights that align with the collective, transgenerational, and holistic nature of indigenous knowledge systems. Land rights recognition and the establishment of indigenous territories with autonomous governance provide communities with spaces for maintaining traditional knowledge transmission within appropriate cultural and ecological </w:t>
      </w:r>
      <w:r w:rsidRPr="00B14CCC">
        <w:rPr>
          <w:rFonts w:ascii="Times New Roman" w:eastAsia="Times New Roman" w:hAnsi="Times New Roman" w:cs="Times New Roman"/>
          <w:sz w:val="24"/>
          <w:szCs w:val="24"/>
        </w:rPr>
        <w:lastRenderedPageBreak/>
        <w:t>contexts. Educational policies supporting indigenous language instruction, culturally responsive curricula, and indigenous-controlled educational institutions strengthen institutional support for knowledge transmission.</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Despite these policy advances, implementation gaps and enforcement challenges limit the effectiveness of protections in many contexts (Tobin, 2014). Inadequate resources, limited institutional capacity, and insufficient political will often constrain the translation of policy commitments into meaningful changes affecting indigenous communities. Power asymmetries between indigenous peoples and states, corporations, and other actors create ongoing vulnerabilities despite formal legal protections. Furthermore, the bureaucratic and legalistic nature of policy frameworks may be poorly aligned with indigenous governance structures and decision-making processes, creating barriers to effective community participation in implementation. Strengthening TMK transmission therefore requires not only appropriate policy frameworks but also sustained commitment to implementation, adequate resourcing, capacity building within indigenous communities and government institutions, and ongoing dialogue between indigenous peoples and other stakeholders.</w:t>
      </w:r>
    </w:p>
    <w:p w:rsidR="00B74093" w:rsidRPr="00B14CCC" w:rsidRDefault="00B74093"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Economic Alternatives and Market Development</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development of ethical markets for traditional medicines and medicinal plants represents a complex but potentially significant opportunity for supporting TMK transmission by creating economic incentives for traditional knowledge and practice (Shanley &amp; Luz, 2003). Fair trade networks, certification systems, and direct marketing relationships can provide income for knowledge holders and communities while maintaining quality control and ensuring sustainable harvesting practices. Economic returns from traditional medicine can support livelihoods for healers and medicinal plant specialists, making traditional knowledge pathways economically viable for younger generations. Community-based enterprises focused on traditional medicine products, ecotourism highlighting traditional healing practices, or cultural education programs can generate revenue while supporting knowledge transmission and cultural preservation.</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However, commercialization of traditional medicine raises substantial ethical concerns requiring careful community governance and appropriate safeguards (Cunningham, 2001). Market pressures may incentivize overharvesting of medicinal plants, potentially threatening species conservation and undermining the ecological sustainability that traditional practices typically embody. Commercial interests may pressure communities to disclose sacred or restricted knowledge inappropriate for broader dissemination or to simplify complex healing practices into marketable products disconnected from holistic traditional frameworks. Economic motivations could transform knowledge transmission dynamics, potentially redirecting learning toward commercially valuable knowledge while neglecting aspects without market value but possessing cultural or spiritual significance. Communities pursuing economic opportunities related to traditional medicine require strong governance structures, clear ethical guidelines, and collective decision-making processes ensuring that commercial activities support rather than undermine cultural values and knowledge transmission priorities.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Intellectual property tools specifically adapted to traditional knowledge, including geographical indications, collective trademarks, and community certification marks, provide mechanisms for communities to control and benefit from traditional knowledge use while limiting appropriation (Finger &amp; Schuler, 2004). These approaches allow communities to establish reputation-based market advantages by associating traditional medicine products or practices with community identity, traditional knowledge, and quality standards. The success of geographical indications in protecting traditional agricultural products provides potential models for traditional medicine, though adapting these mechanisms requires attention to the distinctive characteristics of medical knowledge and healing practices. Community-owned collective rights can create frameworks for benefit-sharing and knowledge access control while potentially supporting market development that respects traditional values.</w:t>
      </w:r>
    </w:p>
    <w:p w:rsidR="00B74093" w:rsidRPr="00B14CCC" w:rsidRDefault="00B74093"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Case Studies and Comparative Analysis</w:t>
      </w:r>
    </w:p>
    <w:p w:rsidR="00B74093" w:rsidRPr="00B14CCC" w:rsidRDefault="00B74093"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The Khoe-San People of Southern Africa</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Khoe-San peoples of southern Africa possess sophisticated traditional medical knowledge systems developed through millennia of interaction with the region's distinctive flora (Chennells &amp; Du Toit, 2004). Their ethnobotanical knowledge encompasses hundreds of medicinal plant species, with healing practices addressing diverse health conditions through plant-based medicines, ritual healing, and spiritual practices. The transmission of this knowledge traditionally occurred through extended family relationships, apprenticeships with recognized healers, and integration of medical knowledge within broader ecological knowledge transmitted during foraging activities, food preparation, and daily life in traditional territories. However, contemporary Khoe-San communities face multiple challenges threatening knowledge continuity, including severe socioeconomic marginalization, loss of access to traditional lands, language endangerment, and the fragmentation of traditional social structures.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case of Hoodia gordonii illustrates both the vulnerabilities and opportunities associated with traditional medical knowledge in contemporary contexts (Wynberg et al., 2009). The Khoe-San traditionally used Hoodia, a succulent plant, as appetite suppressant during long journeys in arid environments. In the 1990s, the South African Council for Scientific and Industrial Research patented an appetite-suppressing compound derived from Hoodia, initially without recognition of San knowledge or benefit-sharing. Following advocacy by the San and civil society organizations, a benefit-sharing agreement was eventually negotiated, though implementation faced challenges related to community governance, member identification, and the subsequent failure of commercial development to generate anticipated revenues. The Hoodia case demonstrates the importance of prior informed consent, benefit-sharing frameworks, and community capacity for negotiating complex intellectual property arrangements, while also illustrating the uncertainties and disappointments that can accompany commercialization pathways.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Contemporary initiatives among Khoe-San communities combine documentation efforts with transmission strengthening approaches (Henley, 2009). The South African San Institute has </w:t>
      </w:r>
      <w:r w:rsidRPr="00B14CCC">
        <w:rPr>
          <w:rFonts w:ascii="Times New Roman" w:eastAsia="Times New Roman" w:hAnsi="Times New Roman" w:cs="Times New Roman"/>
          <w:sz w:val="24"/>
          <w:szCs w:val="24"/>
        </w:rPr>
        <w:lastRenderedPageBreak/>
        <w:t>supported cultural revival programs including language and traditional knowledge preservation projects, recognizing that knowledge transmission requires attention to broader cultural contexts including language, territorial connections, and social structures. Intergenerational exchange programs bring elders and youth together for extended periods focused on traditional skills learning, including medicinal plant knowledge. Community-controlled databases document traditional knowledge in formats accessible for internal education while maintaining access restrictions protecting sensitive information. These multifaceted approaches recognize that TMK transmission requires addressing interconnected challenges spanning socioeconomic status, land rights, language preservation, and cultural revitalization.</w:t>
      </w:r>
    </w:p>
    <w:p w:rsidR="00B74093" w:rsidRPr="00B14CCC" w:rsidRDefault="00B74093"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Māori of New Zealand/Aotearoa</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Māori people of New Zealand possess comprehensive traditional medical knowledge known as rongoā Māori, which integrates plant medicines, spiritual healing practices, massage therapies, and holistic wellness frameworks grounded in Māori cosmology (Mark &amp; Lyons, 2010). Traditional transmission occurred through wānanga (traditional schools), apprenticeships with tohunga (experts), and whānau (family) relationships, with knowledge often associated with specific iwi (tribes) and hapū (sub-tribes). Colonial policies actively suppressed rongoā Māori, with the Tohunga Suppression Act of 1907 criminalizing traditional healing practices and contributing to knowledge erosion that lasted throughout much of the twentieth century. The Act was repealed in 1962, but its legacy, combined with language loss, urbanization, and disruption of traditional social structures, severely damaged traditional knowledge transmission pathways.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Contemporary rongoā Māori revitalization represents one of the most comprehensive indigenous medical knowledge revival movements globally (Wepa, 2005). The establishment of specialized training programs, including the Diploma of Rongoā Māori at Te Wānanga o Aotearoa, provides formalized educational pathways for rongoā practitioners while maintaining connections to traditional knowledge and practices. These programs combine classroom instruction, clinical training, and mentorship with experienced practitioners, adapting traditional apprenticeship models to contemporary contexts. Māori language revitalization efforts support rongoā transmission, as medical knowledge is embedded in </w:t>
      </w:r>
      <w:proofErr w:type="gramStart"/>
      <w:r w:rsidRPr="00B14CCC">
        <w:rPr>
          <w:rFonts w:ascii="Times New Roman" w:eastAsia="Times New Roman" w:hAnsi="Times New Roman" w:cs="Times New Roman"/>
          <w:sz w:val="24"/>
          <w:szCs w:val="24"/>
        </w:rPr>
        <w:t>te</w:t>
      </w:r>
      <w:proofErr w:type="gramEnd"/>
      <w:r w:rsidRPr="00B14CCC">
        <w:rPr>
          <w:rFonts w:ascii="Times New Roman" w:eastAsia="Times New Roman" w:hAnsi="Times New Roman" w:cs="Times New Roman"/>
          <w:sz w:val="24"/>
          <w:szCs w:val="24"/>
        </w:rPr>
        <w:t xml:space="preserve"> reo Māori linguistic structures and traditional terminologies. Research institutions including Māori health research centers conduct collaborative ethnobotanical research supporting both knowledge documentation and scientific validation of traditional medicines, with research protocols ensuring Māori control over knowledge and commercial applications.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Policy frameworks in New Zealand increasingly support rongoā Māori integration within healthcare systems and protection of associated knowledge (Durie, 1998). The New Zealand Intellectual Property Office recognizes the need for specific protections for traditional knowledge, including rongoā. The Waitangi Tribunal has addressed claims related to indigenous knowledge protection, establishing principles for Māori authority over cultural heritage. Some public health services incorporate rongoā practitioners, and district health boards support rongoā clinics, creating economic pathways for practitioners and enhancing </w:t>
      </w:r>
      <w:r w:rsidRPr="00B14CCC">
        <w:rPr>
          <w:rFonts w:ascii="Times New Roman" w:eastAsia="Times New Roman" w:hAnsi="Times New Roman" w:cs="Times New Roman"/>
          <w:sz w:val="24"/>
          <w:szCs w:val="24"/>
        </w:rPr>
        <w:lastRenderedPageBreak/>
        <w:t>social recognition of traditional medicine. These developments demonstrate how policy frameworks, institutional support, and community initiatives can work synergistically to strengthen knowledge transmission, though challenges remain regarding adequate resourcing, ensuring cultural authenticity, and maintaining traditional knowledge integrity within formal systems.</w:t>
      </w:r>
    </w:p>
    <w:p w:rsidR="00B74093" w:rsidRPr="00B14CCC" w:rsidRDefault="00B74093"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Traditional Chinese Medicine: Comparative Insights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While traditional Chinese medicine (TCM) does not represent indigenous knowledge in the same sense as knowledge systems of historically marginalized peoples, its trajectory offers comparative insights regarding knowledge transmission, modernization, and integration with formal systems (Zhan, 2009). TCM has maintained relatively robust intergenerational transmission through several mechanisms including written documentation extending back millennia, institutionalization within formal education systems, integration with biomedical training in China, and state support for traditional medicine as cultural heritage and healthcare resource. Universities throughout China and internationally offer degree programs in traditional Chinese medicine, creating formalized educational pathways and professional credentials that attract students and provide economic viability for traditional practice.</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formalization and standardization of TCM instruction raises important questions regarding the relationship between traditional knowledge systems and institutional education (Taylor, 2005). Critics argue that TCM education has become overly standardized and biomedically influenced, potentially losing aspects of traditional practice including intuitive diagnosis, individualized treatment approaches, and the philosophical frameworks underlying classical medicine. The emphasis on scientific validation and evidence-based practice, while supporting TCM's legitimacy within pluralistic healthcare systems, may transform traditional knowledge in ways that diminish distinctive epistemological contributions. The tension between maintaining traditional authenticity and achieving contemporary legitimacy represents a fundamental challenge for traditional knowledge systems seeking recognition within modernized contexts.</w:t>
      </w:r>
    </w:p>
    <w:p w:rsidR="00B74093"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Despite these concerns, TCM's relative success in maintaining knowledge transmission and achieving integration within formal healthcare systems provides potential lessons for other traditional medicine systems (World Health Organization, 2019). Strong institutional support, formalized education pathways creating credentials and professional identity, and economic viability through integration with healthcare systems contribute to knowledge transmission by making traditional practice an attractive career path. Research funding supporting traditional medicine investigation, both regarding clinical efficacy and pharmacological mechanisms, strengthens knowledge documentation and contemporary relevance. However, the TCM experience also demonstrates risks of transformation, commodification, and loss of holistic frameworks when traditional knowledge becomes primarily valued for its contributions to biomedical pharmacopoeias rather than as comprehensive health systems embodying distinctive epistemologies.</w:t>
      </w:r>
    </w:p>
    <w:p w:rsidR="00BA062D" w:rsidRPr="00B14CCC" w:rsidRDefault="00BA062D" w:rsidP="00B14CCC">
      <w:pPr>
        <w:jc w:val="both"/>
        <w:rPr>
          <w:rFonts w:ascii="Times New Roman" w:eastAsia="Times New Roman" w:hAnsi="Times New Roman" w:cs="Times New Roman"/>
          <w:sz w:val="24"/>
          <w:szCs w:val="24"/>
        </w:rPr>
      </w:pPr>
    </w:p>
    <w:p w:rsidR="00B74093" w:rsidRPr="00B14CCC" w:rsidRDefault="00B74093"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lastRenderedPageBreak/>
        <w:t>Synthesis and Recommendations</w:t>
      </w:r>
    </w:p>
    <w:p w:rsidR="00B74093" w:rsidRPr="00B14CCC" w:rsidRDefault="00B74093"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Multilevel Strategies for Knowledge Transmission</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Effective support for TMK transmission requires coordinated strategies operating at multiple levels from individual communities to international policy frameworks, recognizing that no single intervention can address the complex array of factors influencing knowledge continuity (Pretty et al., 2009). At the community level, interventions supporting traditional transmission mechanisms including mentorship programs, cultural camps, language immersion initiatives, and ceremonial revitalization create contexts for knowledge transfer while strengthening cultural identity and community cohesion. Youth engagement strategies that connect traditional knowledge to contemporary concerns including environmental conservation, sustainable development, health equity, and cultural heritage can enhance interest in traditional learning among younger generations. Intergenerational exchange programs explicitly designed to facilitate relationships between elders and youth, including technology-mediated communication allowing distance interaction, can maintain knowledge transfer even when spatial separation occurs.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Institutional support requires development of culturally appropriate education systems that validate indigenous knowledge, support mother tongue instruction, and create space for traditional pedagogies within or alongside formal education (Battiste, 2013). This might include indigenous-controlled schools, dual-language programs, culture and language immersion options, or integration of indigenous knowledge throughout curricula in ways</w:t>
      </w:r>
      <w:r w:rsid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sz w:val="24"/>
          <w:szCs w:val="24"/>
        </w:rPr>
        <w:t>that respect knowledge protocols and maintain community authority over content. Formal recognition of traditional medical practitioners through licensing or registration systems, where desired by communities, can enhance social status and economic viability while creating pathways for younger practitioners. Healthcare system integration that incorporates traditional medicine alongside biomedical services, with appropriate cultural protocols and community involvement in program design, supports knowledge validation and creates contexts where traditional knowledge demonstrates ongoing relevance and efficacy.</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National policy frameworks must address the structural factors threatening TMK transmission including land rights, language preservation, economic marginalization, and intellectual property protection (Maffi &amp; Woodley, 2010). Secure tenure over traditional territories provides communities with access to medicinal plant resources and ecological contexts necessary for experiential learning and knowledge application. Constitutional recognition of indigenous peoples' rights, legislative protections for traditional </w:t>
      </w:r>
      <w:proofErr w:type="gramStart"/>
      <w:r w:rsidRPr="00B14CCC">
        <w:rPr>
          <w:rFonts w:ascii="Times New Roman" w:eastAsia="Times New Roman" w:hAnsi="Times New Roman" w:cs="Times New Roman"/>
          <w:sz w:val="24"/>
          <w:szCs w:val="24"/>
        </w:rPr>
        <w:t>knowledge,</w:t>
      </w:r>
      <w:proofErr w:type="gramEnd"/>
      <w:r w:rsidRPr="00B14CCC">
        <w:rPr>
          <w:rFonts w:ascii="Times New Roman" w:eastAsia="Times New Roman" w:hAnsi="Times New Roman" w:cs="Times New Roman"/>
          <w:sz w:val="24"/>
          <w:szCs w:val="24"/>
        </w:rPr>
        <w:t xml:space="preserve"> and implementation of international instruments including the UN Declaration on the Rights of Indigenous Peoples and the Nagoya Protocol create enabling legal environments. Adequate resourcing for indigenous language revitalization, cultural preservation programs, and community-led development initiatives supports the broader conditions necessary for knowledge transmission beyond medical knowledge specifically.</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International cooperation and knowledge exchange among indigenous communities facing similar challenges can facilitate learning about successful strategies, provide mutual support, </w:t>
      </w:r>
      <w:r w:rsidRPr="00B14CCC">
        <w:rPr>
          <w:rFonts w:ascii="Times New Roman" w:eastAsia="Times New Roman" w:hAnsi="Times New Roman" w:cs="Times New Roman"/>
          <w:sz w:val="24"/>
          <w:szCs w:val="24"/>
        </w:rPr>
        <w:lastRenderedPageBreak/>
        <w:t>and strengthen collective advocacy for indigenous rights and knowledge protection (Cunningham, 2001). Networks linking traditional healers, indigenous researchers, and community leaders create opportunities for sharing documentation methodologies, educational innovations, and policy advocacy approaches. International research collaborations employing ethical protocols and ensuring indigenous control over knowledge can contribute to global understanding of traditional medicine's contributions to healthcare, biodiversity conservation, and sustainable development while supporting specific communities' transmission efforts. However, such exchanges must carefully navigate knowledge protection concerns and ensure that international sharing does not create vulnerabilities to appropriation or unauthorized access.</w:t>
      </w:r>
    </w:p>
    <w:p w:rsidR="00B74093" w:rsidRPr="00B14CCC" w:rsidRDefault="00B74093"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Balancing Documentation and Transmission</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Documentation initiatives must be carefully designed to support rather than substitute for oral transmission and experiential learning, recognizing that written and digital records cannot fully capture the embodied, contextual, and dynamic dimensions of traditional medical knowledge (Agrawal, 2002). Documentation works most effectively when it serves defined community purposes including supporting education programs, providing reference materials for practitioners, facilitating intergenerational exchange, or creating records for community archives rather than being pursued as ends in </w:t>
      </w:r>
      <w:proofErr w:type="gramStart"/>
      <w:r w:rsidRPr="00B14CCC">
        <w:rPr>
          <w:rFonts w:ascii="Times New Roman" w:eastAsia="Times New Roman" w:hAnsi="Times New Roman" w:cs="Times New Roman"/>
          <w:sz w:val="24"/>
          <w:szCs w:val="24"/>
        </w:rPr>
        <w:t>themselves</w:t>
      </w:r>
      <w:proofErr w:type="gramEnd"/>
      <w:r w:rsidRPr="00B14CCC">
        <w:rPr>
          <w:rFonts w:ascii="Times New Roman" w:eastAsia="Times New Roman" w:hAnsi="Times New Roman" w:cs="Times New Roman"/>
          <w:sz w:val="24"/>
          <w:szCs w:val="24"/>
        </w:rPr>
        <w:t>. Community-controlled documentation processes that involve knowledge holders and learners collaboratively in recording, organizing, and accessing materials ensure that documentation strengthens relationships between generations while maintaining cultural protocols governing knowledge access and use.</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format, organization, and accessibility of documentation should reflect indigenous epistemologies and knowledge structures rather than imposing external categorical frameworks (Mazzocchi, 2006). This might include organizing information according to traditional classification systems, incorporating narrative and relational elements characteristic of oral traditions, maintaining connections between different knowledge domains rather than fragmenting specialized information, and preserving contextual information about appropriate knowledge use, seasonal considerations, and ethical dimensions. Multimedia documentation capturing visual, auditory, and performative aspects of knowledge transmission approximates traditional learning experiences more closely than text-only formats. However, technology choices must consider long-term accessibility, community capacity for maintaining digital systems, and the potential for technological obsolescence requiring migration to new formats.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Documentation protocols must address intellectual property concerns through clear agreements about knowledge ownership, access restrictions, and potential future uses (Bannister &amp; Barrett, 2012). Community consent processes should ensure that participants understand documentation purposes, how materials will be used and stored, who will have access, and what protections exist against unauthorized use. Traditional knowledge licenses and community protocols provide mechanisms for communities to specify permissible uses and restrictions. Documentation should distinguish between knowledge appropriate for broad </w:t>
      </w:r>
      <w:r w:rsidRPr="00B14CCC">
        <w:rPr>
          <w:rFonts w:ascii="Times New Roman" w:eastAsia="Times New Roman" w:hAnsi="Times New Roman" w:cs="Times New Roman"/>
          <w:sz w:val="24"/>
          <w:szCs w:val="24"/>
        </w:rPr>
        <w:lastRenderedPageBreak/>
        <w:t>dissemination and restricted knowledge requiring limited access based on traditional protocols. Regular review of documentation projects allows communities to reassess documentation decisions, restrict access to materials if concerns emerge, or expand documentation efforts if positive outcomes are evident.</w:t>
      </w:r>
    </w:p>
    <w:p w:rsidR="00B74093" w:rsidRPr="00B14CCC" w:rsidRDefault="00B74093"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Research Ethics and Collaborative Methodologies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Research involving traditional medical knowledge requires ethical frameworks extending beyond conventional research ethics to address power dynamics, knowledge sovereignty, and the distinctive characteristics of indigenous knowledge systems (Smith, 2012). Prior informed consent processes must be collective and ongoing rather than individual and one-time, recognizing that communities are the appropriate decision-makers regarding knowledge sharing and that consent may need to be renegotiated as research evolves. Research questions and methodologies should emerge from community priorities and needs rather than solely from researcher interests, with communities exercising genuine authority over research direction. Community-based participatory research and indigenous research methodologies position community members as co-researchers with equitable roles in project design, implementation, analysis, and dissemination.</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Intellectual property agreements preceding research should establish clear terms regarding ownership of research outputs, authorship, data access and use, and benefit-sharing arrangements (Bannister &amp; Barrett, 2012). Traditional knowledge should be recognized as community property with researchers acquiring limited use rights rather than ownership. Research publications should acknowledge knowledge holders and communities as contributors, not merely research subjects. Data access agreements should specify that data returns to communities and that researchers' use is time-limited and purpose-specific. Benefit-sharing might include financial compensation, capacity building, support for community priorities, collaborative publications, or other arrangements negotiated with communities. These agreements work most effectively when documented clearly and when communities have access to legal and technical support ensuring that terms genuinely protect community interests.</w:t>
      </w:r>
    </w:p>
    <w:p w:rsidR="00B74093"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Long-term research relationships characterized by trust, reciprocity, and mutual respect provide optimal contexts for ethical research contributing to both knowledge documentation and scientific understanding (Tengö et al., 2014). Extended engagements allow researchers to develop cultural competence, understand community contexts and protocols, and demonstrate commitment beyond extractive data collection. Researchers can contribute capacity building through training community members in research methodologies, documentation techniques, and analysis approaches that communities can employ for their own purposes. Supporting community priorities not directly related to research, participating in community life, and maintaining relationships beyond active data collection demonstrate reciprocity and respect. These approaches build trust necessary for communities to share sensitive knowledge while ensuring that research genuinely serves community interests.</w:t>
      </w:r>
    </w:p>
    <w:p w:rsidR="00BA062D" w:rsidRPr="00B14CCC" w:rsidRDefault="00BA062D" w:rsidP="00B14CCC">
      <w:pPr>
        <w:jc w:val="both"/>
        <w:rPr>
          <w:rFonts w:ascii="Times New Roman" w:eastAsia="Times New Roman" w:hAnsi="Times New Roman" w:cs="Times New Roman"/>
          <w:sz w:val="24"/>
          <w:szCs w:val="24"/>
        </w:rPr>
      </w:pPr>
    </w:p>
    <w:p w:rsidR="00B74093" w:rsidRPr="00B14CCC" w:rsidRDefault="00B74093"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lastRenderedPageBreak/>
        <w:t>Technology and Innovation in Knowledge Transmission</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Emerging technologies offer unprecedented possibilities for enhancing TMK transmission while requiring careful attention to cultural appropriateness, community control, and the limitations of technology-mediated learning (Lercari et al., 2018). Mobile applications designed in partnership with communities can create accessible learning tools that youth engage with through familiar technology interfaces. Features might include plant identification guides with images, distributions, and uses; preparation instruction through video demonstration; interactive quizzes reinforcing learning; and documentation of personal observations and learning experiences. However, applications must be designed with community involvement ensuring cultural appropriateness, respect for knowledge protocols, and alignment with traditional pedagogies. Offline functionality is essential given limited connectivity in many indigenous territories, and open-source platforms allow community control over ongoing development.</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Virtual and augmented reality technologies present intriguing possibilities for creating immersive learning experiences that approximate some aspects of experiential learning (Champion, 2018). Virtual environments could simulate medicinal plant collection in appropriate habitats and seasons, demonstrate preparation procedures, or recreate ceremonial contexts for knowledge transmission. Augmented reality could overlay information onto physical plants and environments during field learning, supporting identification and ecological understanding. However, these technologies remain expensive and require substantial technical expertise, potentially limiting accessibility for many indigenous communities. Furthermore, virtual experiences cannot fully substitute for embodied learning in actual ecological contexts with sensory richness, unpredictability, and lived relationships with non-human beings that characterize traditional knowledge transmission.</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Social media platforms and video-sharing services, while raising concerns about knowledge dissemination control, are being employed by some indigenous communities and practitioners to share knowledge with community members, particularly youth, in culturally relevant formats (Ritchie et al., 2013). Community-controlled social media groups with restricted membership provide spaces for knowledge sharing among dispersed community members. Videos demonstrating plant identification, preparation techniques, or healing practices make knowledge accessible while creating visual records. However, these platforms pose risks of unauthorized access, with public posts potentially reaching audiences beyond intended recipients. Platform ownership by external corporations raises concerns about data sovereignty and long-term accessibility. Communities using social media for knowledge transmission must carefully consider privacy settings, audience, and content sensitivity while recognizing that digital sharing creates risks of appropriation.</w:t>
      </w:r>
    </w:p>
    <w:p w:rsidR="00B74093" w:rsidRPr="00B14CCC" w:rsidRDefault="00B74093"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Evaluating Transmission Effectiveness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Assessing the effectiveness of TMK transmission initiatives requires culturally appropriate evaluation frameworks that reflect community values and priorities rather than imposing external metrics (Sillitoe, 1998). Quantitative measures might include numbers of youth </w:t>
      </w:r>
      <w:r w:rsidRPr="00B14CCC">
        <w:rPr>
          <w:rFonts w:ascii="Times New Roman" w:eastAsia="Times New Roman" w:hAnsi="Times New Roman" w:cs="Times New Roman"/>
          <w:sz w:val="24"/>
          <w:szCs w:val="24"/>
        </w:rPr>
        <w:lastRenderedPageBreak/>
        <w:t>participating in traditional learning programs, languages spoken by different age cohorts, or medicinal plants identified by younger generation members compared to elders. However, quantitative data should be complemented by qualitative assessment including community perceptions of knowledge continuity, evaluations by elders of learning quality, and observation of knowledge application in appropriate contexts. Community-defined indicators reflecting local priorities provide more meaningful assessment than standardized metrics, as communities understand their own knowledge systems and transmission requirements best.</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Longitudinal evaluation examining knowledge retention and transmission across life stages provides insight into long-term effectiveness that short-term assessment cannot capture (Reyes-García et al., 2009). Knowledge acquisition is typically gradual, with comprehensive mastery requiring decades, so evaluation of youth learning should recognize that limited current knowledge may represent appropriate learning stages rather than transmission failure. Following cohorts over time reveals whether youth exposed to transmission programs maintain knowledge, continue learning, and eventually transmit knowledge to subsequent generations. Such extended evaluation requires sustained institutional commitment and resources but provides essential information about intervention effectiveness.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Participatory evaluation engaging community members in defining success criteria, gathering evidence, and interpreting findings ensures that assessment serves community purposes and respects local epistemologies (Sillitoe, 2007). Community researchers conducting evaluation with training and support builds capacity while ensuring cultural appropriateness. Evaluation findings should inform adaptive management, allowing communities and supporting institutions to refine transmission strategies based on evidence of effectiveness. However, evaluation must be balanced with respect for knowledge transmission as inherently valuable cultural practice worthy of support regardless of measured outcomes. Not all aspects of traditional knowledge transmission are appropriately subjected to evaluation, particularly sacred or ceremonial </w:t>
      </w:r>
      <w:proofErr w:type="gramStart"/>
      <w:r w:rsidRPr="00B14CCC">
        <w:rPr>
          <w:rFonts w:ascii="Times New Roman" w:eastAsia="Times New Roman" w:hAnsi="Times New Roman" w:cs="Times New Roman"/>
          <w:sz w:val="24"/>
          <w:szCs w:val="24"/>
        </w:rPr>
        <w:t>dimensions,</w:t>
      </w:r>
      <w:proofErr w:type="gramEnd"/>
      <w:r w:rsidRPr="00B14CCC">
        <w:rPr>
          <w:rFonts w:ascii="Times New Roman" w:eastAsia="Times New Roman" w:hAnsi="Times New Roman" w:cs="Times New Roman"/>
          <w:sz w:val="24"/>
          <w:szCs w:val="24"/>
        </w:rPr>
        <w:t xml:space="preserve"> and communities should determine what aspects of transmission are suitable for assessment.</w:t>
      </w:r>
    </w:p>
    <w:p w:rsidR="00B74093" w:rsidRPr="00B14CCC" w:rsidRDefault="00B74093"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Implications for Healthcare and Conservation</w:t>
      </w:r>
    </w:p>
    <w:p w:rsidR="00B74093" w:rsidRPr="00B14CCC" w:rsidRDefault="00B74093"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Contributions to Pluralistic Healthcare Systems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integration of traditional medical knowledge within pluralistic healthcare systems recognizing multiple valid approaches to health and healing represents a significant opportunity for improving healthcare access and cultural appropriateness while supporting TMK transmission (World Health Organization, 2019). Many indigenous and rural communities have limited access to biomedical services due to geographic isolation, economic barriers, cultural disconnection, and healthcare system deficiencies, with traditional medicine often serving as the primary or only accessible healthcare resource. Formal recognition and support for traditional medicine within official healthcare systems can enhance service availability, particularly in underserved areas, while validating traditional knowledge and creating economic pathways for practitioners that support knowledge transmission to younger generations.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The distinctive contributions of traditional medicine extend beyond filling healthcare gaps to offering alternative paradigms emphasizing prevention, holistic treatment, patient autonomy, and integration of physical, mental, emotional, and spiritual dimensions of health (Struthers &amp; Eschiti, 2005). Traditional approaches often emphasize maintaining health and preventing illness through appropriate lifestyle, diet, spiritual practices, and harmonious relationships rather than focusing primarily on disease treatment. Patient-centered approaches characteristic of many traditional medical systems, with extended consultations and individualized treatments, contrast with time-constrained biomedical encounters and standardized protocols. The therapeutic relationship between healer and patient, often embedded in broader community relationships, provides psychosocial support complementing pharmacological interventions. These distinctive features suggest that traditional medicine offers valuable healthcare contributions beyond simply substituting for biomedical services.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However, healthcare integration raises concerns about quality control, safety, efficacy documentation, and potential transformation of traditional practices (Bodeker &amp; Kronenberg, 2002). Formal healthcare systems typically require evidence-based practice documented through clinical trials and systematic outcome monitoring. Traditional medicines and practices may lack documentation meeting biomedical evidence standards, though absence of evidence should not be confused with evidence of ineffectiveness. Some traditional practices may pose safety concerns requiring regulation, though research suggests that many traditional medicines have favorable safety profiles compared to pharmaceutical interventions when used appropriately under practitioner guidance. Finding appropriate approaches to quality assurance and safety monitoring that protect patient welfare without imposing requirements disconnected from traditional practice contexts represents an ongoing challenge.</w:t>
      </w:r>
    </w:p>
    <w:p w:rsidR="00B74093" w:rsidRPr="00B14CCC" w:rsidRDefault="00B74093"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Biodiversity Conservation Connections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Traditional medical knowledge represents a crucial component of biocultural conservation approaches recognizing the interdependence of biological diversity and cultural diversity (Maffi &amp; Woodley, 2010). Indigenous territories encompass substantial proportions of global biodiversity, with indigenous peoples' sustainable resource management practices contributing to biodiversity conservation across millennia. Traditional medical knowledge embeds detailed ecological understanding including plant identifications, habitat requirements, phenological patterns, species interactions, and sustainable harvesting practices that support both medical knowledge application and broader ecosystem conservation. The loss of traditional medical knowledge therefore threatens not only cultural heritage and healthcare access but also the ecological knowledge necessary for biodiversity conservation and sustainable resource management.</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Medicinal plant conservation faces increasing threats from habitat destruction, climate change, over-harvesting, and invasive species, with traditional knowledge offering essential contributions to conservation strategies (Hamilton, 2004). Traditional practitioners often possess sophisticated understanding of medicinal plant ecology, population dynamics, and sustainable harvesting practices developed through generations of careful observation. This </w:t>
      </w:r>
      <w:r w:rsidRPr="00B14CCC">
        <w:rPr>
          <w:rFonts w:ascii="Times New Roman" w:eastAsia="Times New Roman" w:hAnsi="Times New Roman" w:cs="Times New Roman"/>
          <w:sz w:val="24"/>
          <w:szCs w:val="24"/>
        </w:rPr>
        <w:lastRenderedPageBreak/>
        <w:t>knowledge can inform cultivation approaches, habitat restoration, population monitoring, and sustainable wild-harvesting protocols. However, as traditional knowledge erodes, so too does the detailed ecological understanding necessary for species-specific conservation. Conversely, habitat destruction and species loss undermines traditional knowledge transmission by eliminating the plant communities necessary for experiential learning and knowledge application, creating destructive feedback loops linking cultural and biological erosion.</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Collaborative conservation initiatives engaging indigenous communities as partners and primary decision-makers in protected area management, restoration projects, and biodiversity monitoring support both conservation objectives and traditional knowledge transmission (Berkes, 2012). Community-based conservation provides contexts for traditional knowledge application, creates roles for knowledge holders as conservation practitioners and educators, and supports territorial connections necessary for place-based knowledge systems. Conservation activities including habitat restoration, medicinal plant cultivation, and sustainable harvesting management create practical contexts for intergenerational knowledge transmission through joint participation of elders and youth. Economic opportunities associated with conservation including ecotourism, sustainable harvesting enterprises, and conservation employment can provide livelihoods supporting traditional knowledge maintenance while funding conservation activities.</w:t>
      </w:r>
    </w:p>
    <w:p w:rsidR="00B74093" w:rsidRPr="00B14CCC" w:rsidRDefault="00B74093"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Conclusions and Future Directions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intergenerational transmission of traditional medical knowledge stands at a critical juncture, with unprecedented threats to knowledge continuity coinciding with growing recognition of traditional knowledge value and emerging opportunities for innovative transmission support. The challenges facing TMK transmission are multifaceted and interconnected, spanning language endangerment, educational system impacts, socioeconomic transformations, intellectual property vulnerabilities, and the erosion of traditional social structures and territorial relationships that historically enabled knowledge transfer (Reyes-García et al., 2021). These challenges are not isolated problems amenable to simple technical solutions but rather reflect fundamental transformations in indigenous peoples' circumstances resulting from colonialism, globalization, and modernization processes that have disrupted traditional lifeways across multiple dimensions.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Effective responses to these challenges require equally multifaceted and interconnected strategies addressing the full ecology of factors influencing knowledge transmission (Beltran-Vargas et al., 2020). Community-level initiatives supporting traditional transmission mechanisms, culturally appropriate education, youth engagement, and documentation for internal use create direct pathways for knowledge transfer. Institutional support through formal recognition of traditional medicine, educational system reforms, research partnerships, and healthcare integration provides infrastructure and resources supporting transmission while validating traditional knowledge. Policy frameworks protecting indigenous rights, knowledge systems, languages, and territories establish enabling conditions at national and international levels. Economic alternatives providing livelihoods for knowledge holders and </w:t>
      </w:r>
      <w:r w:rsidRPr="00B14CCC">
        <w:rPr>
          <w:rFonts w:ascii="Times New Roman" w:eastAsia="Times New Roman" w:hAnsi="Times New Roman" w:cs="Times New Roman"/>
          <w:sz w:val="24"/>
          <w:szCs w:val="24"/>
        </w:rPr>
        <w:lastRenderedPageBreak/>
        <w:t>making traditional knowledge pathways viable for youth address practical considerations influencing transmission decisions.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success of these varied interventions depends fundamentally on indigenous community authority over knowledge systems, transmission processes, and decision-making regarding external engagement (United Nations, 2007). Well-intentioned external support can inadvertently undermine community sovereignty, transform traditional practices, or create dependencies that ultimately weaken rather than strengthen knowledge systems. Effective support therefore requires genuine partnership characterized by respect for indigenous self-determination, willingness to adapt approaches based on community feedback, long-term commitment extending beyond project cycles, and recognition that communities are experts regarding their own knowledge systems and transmission requirements. External actors including researchers, policymakers, healthcare professionals, and conservation practitioners serve most effectively as supporters and resources for community-led initiatives rather than as directors of transmission processes.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Future research should continue documenting the factors influencing TMK transmission outcomes across diverse contexts, examining both the challenges threatening knowledge continuity and the strategies supporting successful transmission (Aswani et al., 2018). Comparative research across communities employing varied approaches to transmission support can identify effective practices and context-specific factors influencing success. Longitudinal studies following communities and individuals over time provide essential evidence regarding long-term transmission outcomes and factors predicting knowledge retention across life stages. Research should examine not only whether youth learn traditional knowledge but also whether they ultimately transmit knowledge to subsequent generations, as this represents the true measure of transmission success. Participatory research methodologies ensuring that research serves community priorities and builds community capacity should become standard practice rather than exceptional approaches.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broader implications of TMK transmission extend beyond the particular communities and knowledge systems immediately involved to encompass fundamental questions about cultural diversity, epistemological pluralism, and humanity's collective knowledge heritage (Maffi, 2005). Traditional medical knowledge represents thousands of years of human experimentation with healing approaches, accumulated through countless observations, refined through systematic transmission, and validated through therapeutic outcomes. The erosion of this knowledge diminishes humanity's collective understanding of health, healing, and the medicinal properties of plants and natural products. Beyond practical applications, traditional medical knowledge embodies alternative ways of understanding human health, relationships with the natural world, and the nature of knowledge itself that offer valuable counterpoints to dominant paradigmatic assumptions.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ultimate objective of supporting TMK transmission is not preservation of static tradition but rather the maintenance of living knowledge systems that continue evolving, adapting, and serving community needs while maintaining cultural continuity and integrity (Berkes, 2012). Traditional knowledge has always been dynamic, with each generation adapting inherited </w:t>
      </w:r>
      <w:r w:rsidRPr="00B14CCC">
        <w:rPr>
          <w:rFonts w:ascii="Times New Roman" w:eastAsia="Times New Roman" w:hAnsi="Times New Roman" w:cs="Times New Roman"/>
          <w:sz w:val="24"/>
          <w:szCs w:val="24"/>
        </w:rPr>
        <w:lastRenderedPageBreak/>
        <w:t>knowledge to changing circumstances while maintaining core principles and practices. Contemporary challenges require similar dynamism, with communities developing innovative transmission approaches that honor traditional values while engaging contemporary realities including formal education, technology, migration, and pluralistic healthcare environments. Supporting this dynamic continuity requires respecting indigenous communities' authority to determine their own futures, adapt their traditions, and make decisions about knowledge transmission reflecting their priorities and values.</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path forward requires sustained commitment from multiple stakeholders including indigenous communities, governments, research institutions, healthcare systems, conservation organizations, and international bodies. Indigenous communities must receive adequate support and resources while maintaining decision-making authority over their knowledge systems and cultural futures. Governments must implement policies protecting indigenous rights, supporting language preservation, ensuring territorial security, and creating enabling conditions for knowledge transmission. Research institutions must embrace ethical frameworks respecting knowledge sovereignty, community priorities, and genuine partnership. Healthcare systems must recognize traditional medicine's contributions while avoiding appropriation or transformation that undermines practice integrity. International cooperation must address the global dimensions of indigenous rights, knowledge protection, and cultural preservation while respecting local autonomy and diversity.</w:t>
      </w:r>
    </w:p>
    <w:p w:rsidR="00B74093" w:rsidRPr="00B14CCC" w:rsidRDefault="00B74093"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transmission of traditional medical knowledge across generations represents more than cultural preservation or healthcare resource maintenance; it embodies the ongoing vitality of indigenous peoples' relationship with their territories, their ancestors, and their futures. Successfully supporting this transmission requires recognizing its profound significance, respecting community authority, addressing systemic challenges, and maintaining long-term commitment to partnerships supporting indigenous self-determination. The knowledge systems at stake represent irreplaceable human heritage and living resources for healthcare, conservation, and cultural diversity whose loss would diminish all of humanity. The opportunities to support their continuity, while significant and growing, require immediate action given the advanced age of many knowledge holders and the rapid pace of cultural change affecting indigenous communities worldwide.</w:t>
      </w:r>
    </w:p>
    <w:p w:rsidR="00B74093" w:rsidRPr="00B14CCC" w:rsidRDefault="00B74093"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References</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Agrawal, A. (2002). Indigenous knowledge and the politics of classification. </w:t>
      </w:r>
      <w:r w:rsidRPr="00B14CCC">
        <w:rPr>
          <w:rFonts w:ascii="Times New Roman" w:eastAsia="Times New Roman" w:hAnsi="Times New Roman" w:cs="Times New Roman"/>
          <w:i/>
          <w:iCs/>
          <w:sz w:val="24"/>
          <w:szCs w:val="24"/>
        </w:rPr>
        <w:t>International Social Science Journal</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54</w:t>
      </w:r>
      <w:r w:rsidRPr="00B14CCC">
        <w:rPr>
          <w:rFonts w:ascii="Times New Roman" w:eastAsia="Times New Roman" w:hAnsi="Times New Roman" w:cs="Times New Roman"/>
          <w:sz w:val="24"/>
          <w:szCs w:val="24"/>
        </w:rPr>
        <w:t xml:space="preserve">(173), 287-297. </w:t>
      </w:r>
      <w:hyperlink r:id="rId112" w:history="1">
        <w:r w:rsidRPr="00B14CCC">
          <w:rPr>
            <w:rFonts w:ascii="Times New Roman" w:eastAsia="Times New Roman" w:hAnsi="Times New Roman" w:cs="Times New Roman"/>
            <w:color w:val="0000FF"/>
            <w:sz w:val="24"/>
            <w:szCs w:val="24"/>
            <w:u w:val="single"/>
          </w:rPr>
          <w:t>https://doi.org/10.1111/1468-2451.00382</w:t>
        </w:r>
      </w:hyperlink>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Albuquerque, U. P., Silva, J. S., Campos, J. L. A., Sousa, R. S., Silva, T. C., &amp; Alves, R. R. N. (2019). The current status of ethnobiological research in Latin America: Gaps and perspectives. </w:t>
      </w:r>
      <w:r w:rsidRPr="00B14CCC">
        <w:rPr>
          <w:rFonts w:ascii="Times New Roman" w:eastAsia="Times New Roman" w:hAnsi="Times New Roman" w:cs="Times New Roman"/>
          <w:i/>
          <w:iCs/>
          <w:sz w:val="24"/>
          <w:szCs w:val="24"/>
        </w:rPr>
        <w:t>Journal of Ethnobiology and Ethnomedicine</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15</w:t>
      </w:r>
      <w:r w:rsidRPr="00B14CCC">
        <w:rPr>
          <w:rFonts w:ascii="Times New Roman" w:eastAsia="Times New Roman" w:hAnsi="Times New Roman" w:cs="Times New Roman"/>
          <w:sz w:val="24"/>
          <w:szCs w:val="24"/>
        </w:rPr>
        <w:t xml:space="preserve">(1), 72. </w:t>
      </w:r>
      <w:hyperlink r:id="rId113" w:history="1">
        <w:r w:rsidRPr="00B14CCC">
          <w:rPr>
            <w:rFonts w:ascii="Times New Roman" w:eastAsia="Times New Roman" w:hAnsi="Times New Roman" w:cs="Times New Roman"/>
            <w:color w:val="0000FF"/>
            <w:sz w:val="24"/>
            <w:szCs w:val="24"/>
            <w:u w:val="single"/>
          </w:rPr>
          <w:t>https://doi.org/10.1186/s13002-019-0345-1</w:t>
        </w:r>
      </w:hyperlink>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Anderson, J. (2012). Options for the future: Intellectual property, digital archiving and shifting knowledge paradigms. In P. McIntosh &amp; M. Barlow (Eds.), </w:t>
      </w:r>
      <w:r w:rsidRPr="00B14CCC">
        <w:rPr>
          <w:rFonts w:ascii="Times New Roman" w:eastAsia="Times New Roman" w:hAnsi="Times New Roman" w:cs="Times New Roman"/>
          <w:i/>
          <w:iCs/>
          <w:sz w:val="24"/>
          <w:szCs w:val="24"/>
        </w:rPr>
        <w:t xml:space="preserve">Indigenous </w:t>
      </w:r>
      <w:r w:rsidRPr="00B14CCC">
        <w:rPr>
          <w:rFonts w:ascii="Times New Roman" w:eastAsia="Times New Roman" w:hAnsi="Times New Roman" w:cs="Times New Roman"/>
          <w:i/>
          <w:iCs/>
          <w:sz w:val="24"/>
          <w:szCs w:val="24"/>
        </w:rPr>
        <w:lastRenderedPageBreak/>
        <w:t>knowledge and cultural heritage: The next generations</w:t>
      </w:r>
      <w:r w:rsidRPr="00B14CCC">
        <w:rPr>
          <w:rFonts w:ascii="Times New Roman" w:eastAsia="Times New Roman" w:hAnsi="Times New Roman" w:cs="Times New Roman"/>
          <w:sz w:val="24"/>
          <w:szCs w:val="24"/>
        </w:rPr>
        <w:t xml:space="preserve"> (pp. 34-52). University of Adelaide Press.</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Aswani, S., Lemahieu, A., &amp; Sauer, W. H. H. (2018). Global trends of local ecological knowledge and future implications. </w:t>
      </w:r>
      <w:r w:rsidRPr="00B14CCC">
        <w:rPr>
          <w:rFonts w:ascii="Times New Roman" w:eastAsia="Times New Roman" w:hAnsi="Times New Roman" w:cs="Times New Roman"/>
          <w:i/>
          <w:iCs/>
          <w:sz w:val="24"/>
          <w:szCs w:val="24"/>
        </w:rPr>
        <w:t>PLOS ONE</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13</w:t>
      </w:r>
      <w:r w:rsidRPr="00B14CCC">
        <w:rPr>
          <w:rFonts w:ascii="Times New Roman" w:eastAsia="Times New Roman" w:hAnsi="Times New Roman" w:cs="Times New Roman"/>
          <w:sz w:val="24"/>
          <w:szCs w:val="24"/>
        </w:rPr>
        <w:t xml:space="preserve">(4), e0195440. </w:t>
      </w:r>
      <w:hyperlink r:id="rId114" w:history="1">
        <w:r w:rsidRPr="00B14CCC">
          <w:rPr>
            <w:rFonts w:ascii="Times New Roman" w:eastAsia="Times New Roman" w:hAnsi="Times New Roman" w:cs="Times New Roman"/>
            <w:color w:val="0000FF"/>
            <w:sz w:val="24"/>
            <w:szCs w:val="24"/>
            <w:u w:val="single"/>
          </w:rPr>
          <w:t>https://doi.org/10.1371/journal.pone.0195440</w:t>
        </w:r>
      </w:hyperlink>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Atanasov, A. G., Zotchev, S. B., Dirsch, V. M., &amp; Supuran, C. T. (2021). Natural products in drug discovery: Advances and opportunities. </w:t>
      </w:r>
      <w:r w:rsidRPr="00B14CCC">
        <w:rPr>
          <w:rFonts w:ascii="Times New Roman" w:eastAsia="Times New Roman" w:hAnsi="Times New Roman" w:cs="Times New Roman"/>
          <w:i/>
          <w:iCs/>
          <w:sz w:val="24"/>
          <w:szCs w:val="24"/>
        </w:rPr>
        <w:t>Nature Reviews Drug Discovery</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20</w:t>
      </w:r>
      <w:r w:rsidRPr="00B14CCC">
        <w:rPr>
          <w:rFonts w:ascii="Times New Roman" w:eastAsia="Times New Roman" w:hAnsi="Times New Roman" w:cs="Times New Roman"/>
          <w:sz w:val="24"/>
          <w:szCs w:val="24"/>
        </w:rPr>
        <w:t xml:space="preserve">(3), 200-216. </w:t>
      </w:r>
      <w:hyperlink r:id="rId115" w:history="1">
        <w:r w:rsidRPr="00B14CCC">
          <w:rPr>
            <w:rFonts w:ascii="Times New Roman" w:eastAsia="Times New Roman" w:hAnsi="Times New Roman" w:cs="Times New Roman"/>
            <w:color w:val="0000FF"/>
            <w:sz w:val="24"/>
            <w:szCs w:val="24"/>
            <w:u w:val="single"/>
          </w:rPr>
          <w:t>https://doi.org/10.1038/s41573-020-00114-z</w:t>
        </w:r>
      </w:hyperlink>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Bannister, K., &amp; Barrett, K. (2012). Weighing the proverbial "ounce of prevention" versus the "pound of cure" in a biocultural context. In P. McIntosh &amp; M. Barlow (Eds.), </w:t>
      </w:r>
      <w:r w:rsidRPr="00B14CCC">
        <w:rPr>
          <w:rFonts w:ascii="Times New Roman" w:eastAsia="Times New Roman" w:hAnsi="Times New Roman" w:cs="Times New Roman"/>
          <w:i/>
          <w:iCs/>
          <w:sz w:val="24"/>
          <w:szCs w:val="24"/>
        </w:rPr>
        <w:t>Indigenous knowledge and cultural heritage: The next generations</w:t>
      </w:r>
      <w:r w:rsidRPr="00B14CCC">
        <w:rPr>
          <w:rFonts w:ascii="Times New Roman" w:eastAsia="Times New Roman" w:hAnsi="Times New Roman" w:cs="Times New Roman"/>
          <w:sz w:val="24"/>
          <w:szCs w:val="24"/>
        </w:rPr>
        <w:t xml:space="preserve"> (pp. 15-33). University of Adelaide Press.</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Battiste, M. (2013). </w:t>
      </w:r>
      <w:r w:rsidRPr="00B14CCC">
        <w:rPr>
          <w:rFonts w:ascii="Times New Roman" w:eastAsia="Times New Roman" w:hAnsi="Times New Roman" w:cs="Times New Roman"/>
          <w:i/>
          <w:iCs/>
          <w:sz w:val="24"/>
          <w:szCs w:val="24"/>
        </w:rPr>
        <w:t>Decolonizing education: Nourishing the learning spirit</w:t>
      </w:r>
      <w:r w:rsidRPr="00B14CCC">
        <w:rPr>
          <w:rFonts w:ascii="Times New Roman" w:eastAsia="Times New Roman" w:hAnsi="Times New Roman" w:cs="Times New Roman"/>
          <w:sz w:val="24"/>
          <w:szCs w:val="24"/>
        </w:rPr>
        <w:t>. UBC Press.</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Beltran-Vargas, J. E., Díaz-Ruiz, F., Tovar-Cortes, E., &amp; Cristancho-Pinilla, S. (2020). Intergenerational transmission of traditional ecological knowledge in a changing social-ecological system: Evidence from a rural Andean community in Colombia. </w:t>
      </w:r>
      <w:r w:rsidRPr="00B14CCC">
        <w:rPr>
          <w:rFonts w:ascii="Times New Roman" w:eastAsia="Times New Roman" w:hAnsi="Times New Roman" w:cs="Times New Roman"/>
          <w:i/>
          <w:iCs/>
          <w:sz w:val="24"/>
          <w:szCs w:val="24"/>
        </w:rPr>
        <w:t>Human Ecology</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48</w:t>
      </w:r>
      <w:r w:rsidRPr="00B14CCC">
        <w:rPr>
          <w:rFonts w:ascii="Times New Roman" w:eastAsia="Times New Roman" w:hAnsi="Times New Roman" w:cs="Times New Roman"/>
          <w:sz w:val="24"/>
          <w:szCs w:val="24"/>
        </w:rPr>
        <w:t xml:space="preserve">(6), 681-696. </w:t>
      </w:r>
      <w:hyperlink r:id="rId116" w:history="1">
        <w:r w:rsidRPr="00B14CCC">
          <w:rPr>
            <w:rFonts w:ascii="Times New Roman" w:eastAsia="Times New Roman" w:hAnsi="Times New Roman" w:cs="Times New Roman"/>
            <w:color w:val="0000FF"/>
            <w:sz w:val="24"/>
            <w:szCs w:val="24"/>
            <w:u w:val="single"/>
          </w:rPr>
          <w:t>https://doi.org/10.1007/s10745-020-00188-w</w:t>
        </w:r>
      </w:hyperlink>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Berkes, F. (2012). </w:t>
      </w:r>
      <w:r w:rsidRPr="00B14CCC">
        <w:rPr>
          <w:rFonts w:ascii="Times New Roman" w:eastAsia="Times New Roman" w:hAnsi="Times New Roman" w:cs="Times New Roman"/>
          <w:i/>
          <w:iCs/>
          <w:sz w:val="24"/>
          <w:szCs w:val="24"/>
        </w:rPr>
        <w:t>Sacred ecology</w:t>
      </w:r>
      <w:r w:rsidRPr="00B14CCC">
        <w:rPr>
          <w:rFonts w:ascii="Times New Roman" w:eastAsia="Times New Roman" w:hAnsi="Times New Roman" w:cs="Times New Roman"/>
          <w:sz w:val="24"/>
          <w:szCs w:val="24"/>
        </w:rPr>
        <w:t xml:space="preserve"> (3rd </w:t>
      </w:r>
      <w:proofErr w:type="gramStart"/>
      <w:r w:rsidRPr="00B14CCC">
        <w:rPr>
          <w:rFonts w:ascii="Times New Roman" w:eastAsia="Times New Roman" w:hAnsi="Times New Roman" w:cs="Times New Roman"/>
          <w:sz w:val="24"/>
          <w:szCs w:val="24"/>
        </w:rPr>
        <w:t>ed</w:t>
      </w:r>
      <w:proofErr w:type="gramEnd"/>
      <w:r w:rsidRPr="00B14CCC">
        <w:rPr>
          <w:rFonts w:ascii="Times New Roman" w:eastAsia="Times New Roman" w:hAnsi="Times New Roman" w:cs="Times New Roman"/>
          <w:sz w:val="24"/>
          <w:szCs w:val="24"/>
        </w:rPr>
        <w:t>.). Routledge.</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Bodeker, G., &amp; Kronenberg, F. (2002). A public health agenda for traditional, complementary, and alternative medicine. </w:t>
      </w:r>
      <w:r w:rsidRPr="00B14CCC">
        <w:rPr>
          <w:rFonts w:ascii="Times New Roman" w:eastAsia="Times New Roman" w:hAnsi="Times New Roman" w:cs="Times New Roman"/>
          <w:i/>
          <w:iCs/>
          <w:sz w:val="24"/>
          <w:szCs w:val="24"/>
        </w:rPr>
        <w:t>American Journal of Public Health</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92</w:t>
      </w:r>
      <w:r w:rsidRPr="00B14CCC">
        <w:rPr>
          <w:rFonts w:ascii="Times New Roman" w:eastAsia="Times New Roman" w:hAnsi="Times New Roman" w:cs="Times New Roman"/>
          <w:sz w:val="24"/>
          <w:szCs w:val="24"/>
        </w:rPr>
        <w:t xml:space="preserve">(10), 1582-1591. </w:t>
      </w:r>
      <w:hyperlink r:id="rId117" w:history="1">
        <w:r w:rsidRPr="00B14CCC">
          <w:rPr>
            <w:rFonts w:ascii="Times New Roman" w:eastAsia="Times New Roman" w:hAnsi="Times New Roman" w:cs="Times New Roman"/>
            <w:color w:val="0000FF"/>
            <w:sz w:val="24"/>
            <w:szCs w:val="24"/>
            <w:u w:val="single"/>
          </w:rPr>
          <w:t>https://doi.org/10.2105/AJPH.92.10.1582</w:t>
        </w:r>
      </w:hyperlink>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Cámara-Leret, R., Fortuna, M. A., &amp; Bascompte, J. (2019). Indigenous knowledge networks in the face of global change. </w:t>
      </w:r>
      <w:r w:rsidRPr="00B14CCC">
        <w:rPr>
          <w:rFonts w:ascii="Times New Roman" w:eastAsia="Times New Roman" w:hAnsi="Times New Roman" w:cs="Times New Roman"/>
          <w:i/>
          <w:iCs/>
          <w:sz w:val="24"/>
          <w:szCs w:val="24"/>
        </w:rPr>
        <w:t>PNAS</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116</w:t>
      </w:r>
      <w:r w:rsidRPr="00B14CCC">
        <w:rPr>
          <w:rFonts w:ascii="Times New Roman" w:eastAsia="Times New Roman" w:hAnsi="Times New Roman" w:cs="Times New Roman"/>
          <w:sz w:val="24"/>
          <w:szCs w:val="24"/>
        </w:rPr>
        <w:t xml:space="preserve">(20), 9913-9918. </w:t>
      </w:r>
      <w:hyperlink r:id="rId118" w:history="1">
        <w:r w:rsidRPr="00B14CCC">
          <w:rPr>
            <w:rFonts w:ascii="Times New Roman" w:eastAsia="Times New Roman" w:hAnsi="Times New Roman" w:cs="Times New Roman"/>
            <w:color w:val="0000FF"/>
            <w:sz w:val="24"/>
            <w:szCs w:val="24"/>
            <w:u w:val="single"/>
          </w:rPr>
          <w:t>https://doi.org/10.1073/pnas.1821843116</w:t>
        </w:r>
      </w:hyperlink>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Champion, E. (2018). </w:t>
      </w:r>
      <w:r w:rsidRPr="00B14CCC">
        <w:rPr>
          <w:rFonts w:ascii="Times New Roman" w:eastAsia="Times New Roman" w:hAnsi="Times New Roman" w:cs="Times New Roman"/>
          <w:i/>
          <w:iCs/>
          <w:sz w:val="24"/>
          <w:szCs w:val="24"/>
        </w:rPr>
        <w:t>Critical gaming: Interactive history and virtual heritage</w:t>
      </w:r>
      <w:r w:rsidRPr="00B14CCC">
        <w:rPr>
          <w:rFonts w:ascii="Times New Roman" w:eastAsia="Times New Roman" w:hAnsi="Times New Roman" w:cs="Times New Roman"/>
          <w:sz w:val="24"/>
          <w:szCs w:val="24"/>
        </w:rPr>
        <w:t>. Routledge.</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Chennells, R., &amp; Du Toit, A. (2004). The San: Indigenous knowledge and intellectual property rights. In </w:t>
      </w:r>
      <w:r w:rsidRPr="00B14CCC">
        <w:rPr>
          <w:rFonts w:ascii="Times New Roman" w:eastAsia="Times New Roman" w:hAnsi="Times New Roman" w:cs="Times New Roman"/>
          <w:i/>
          <w:iCs/>
          <w:sz w:val="24"/>
          <w:szCs w:val="24"/>
        </w:rPr>
        <w:t>Traditional knowledge, intellectual property and indigenous culture</w:t>
      </w:r>
      <w:r w:rsidRPr="00B14CCC">
        <w:rPr>
          <w:rFonts w:ascii="Times New Roman" w:eastAsia="Times New Roman" w:hAnsi="Times New Roman" w:cs="Times New Roman"/>
          <w:sz w:val="24"/>
          <w:szCs w:val="24"/>
        </w:rPr>
        <w:t xml:space="preserve"> (pp. 89-108). Ashgate Publishing.</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Christen, K. (2015). Tribal archives, traditional knowledge, and local contexts: Why </w:t>
      </w:r>
      <w:proofErr w:type="gramStart"/>
      <w:r w:rsidRPr="00B14CCC">
        <w:rPr>
          <w:rFonts w:ascii="Times New Roman" w:eastAsia="Times New Roman" w:hAnsi="Times New Roman" w:cs="Times New Roman"/>
          <w:sz w:val="24"/>
          <w:szCs w:val="24"/>
        </w:rPr>
        <w:t>the 's'</w:t>
      </w:r>
      <w:proofErr w:type="gramEnd"/>
      <w:r w:rsidRPr="00B14CCC">
        <w:rPr>
          <w:rFonts w:ascii="Times New Roman" w:eastAsia="Times New Roman" w:hAnsi="Times New Roman" w:cs="Times New Roman"/>
          <w:sz w:val="24"/>
          <w:szCs w:val="24"/>
        </w:rPr>
        <w:t xml:space="preserve"> matters. </w:t>
      </w:r>
      <w:r w:rsidRPr="00B14CCC">
        <w:rPr>
          <w:rFonts w:ascii="Times New Roman" w:eastAsia="Times New Roman" w:hAnsi="Times New Roman" w:cs="Times New Roman"/>
          <w:i/>
          <w:iCs/>
          <w:sz w:val="24"/>
          <w:szCs w:val="24"/>
        </w:rPr>
        <w:t>Journal of Western Archives</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6</w:t>
      </w:r>
      <w:r w:rsidRPr="00B14CCC">
        <w:rPr>
          <w:rFonts w:ascii="Times New Roman" w:eastAsia="Times New Roman" w:hAnsi="Times New Roman" w:cs="Times New Roman"/>
          <w:sz w:val="24"/>
          <w:szCs w:val="24"/>
        </w:rPr>
        <w:t>(1), Article 3.</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Cunningham, A. B. (2001). </w:t>
      </w:r>
      <w:r w:rsidRPr="00B14CCC">
        <w:rPr>
          <w:rFonts w:ascii="Times New Roman" w:eastAsia="Times New Roman" w:hAnsi="Times New Roman" w:cs="Times New Roman"/>
          <w:i/>
          <w:iCs/>
          <w:sz w:val="24"/>
          <w:szCs w:val="24"/>
        </w:rPr>
        <w:t>Applied ethnobotany: People, wild plant use and conservation</w:t>
      </w:r>
      <w:r w:rsidRPr="00B14CCC">
        <w:rPr>
          <w:rFonts w:ascii="Times New Roman" w:eastAsia="Times New Roman" w:hAnsi="Times New Roman" w:cs="Times New Roman"/>
          <w:sz w:val="24"/>
          <w:szCs w:val="24"/>
        </w:rPr>
        <w:t>. Earthscan.</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Durie, M. (1998). </w:t>
      </w:r>
      <w:r w:rsidRPr="00B14CCC">
        <w:rPr>
          <w:rFonts w:ascii="Times New Roman" w:eastAsia="Times New Roman" w:hAnsi="Times New Roman" w:cs="Times New Roman"/>
          <w:i/>
          <w:iCs/>
          <w:sz w:val="24"/>
          <w:szCs w:val="24"/>
        </w:rPr>
        <w:t>Whaiora: Māori health development</w:t>
      </w:r>
      <w:r w:rsidRPr="00B14CCC">
        <w:rPr>
          <w:rFonts w:ascii="Times New Roman" w:eastAsia="Times New Roman" w:hAnsi="Times New Roman" w:cs="Times New Roman"/>
          <w:sz w:val="24"/>
          <w:szCs w:val="24"/>
        </w:rPr>
        <w:t xml:space="preserve"> (2nd </w:t>
      </w:r>
      <w:proofErr w:type="gramStart"/>
      <w:r w:rsidRPr="00B14CCC">
        <w:rPr>
          <w:rFonts w:ascii="Times New Roman" w:eastAsia="Times New Roman" w:hAnsi="Times New Roman" w:cs="Times New Roman"/>
          <w:sz w:val="24"/>
          <w:szCs w:val="24"/>
        </w:rPr>
        <w:t>ed</w:t>
      </w:r>
      <w:proofErr w:type="gramEnd"/>
      <w:r w:rsidRPr="00B14CCC">
        <w:rPr>
          <w:rFonts w:ascii="Times New Roman" w:eastAsia="Times New Roman" w:hAnsi="Times New Roman" w:cs="Times New Roman"/>
          <w:sz w:val="24"/>
          <w:szCs w:val="24"/>
        </w:rPr>
        <w:t>.). Oxford University Press.</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Dutfield, G. (2000). </w:t>
      </w:r>
      <w:r w:rsidRPr="00B14CCC">
        <w:rPr>
          <w:rFonts w:ascii="Times New Roman" w:eastAsia="Times New Roman" w:hAnsi="Times New Roman" w:cs="Times New Roman"/>
          <w:i/>
          <w:iCs/>
          <w:sz w:val="24"/>
          <w:szCs w:val="24"/>
        </w:rPr>
        <w:t>Intellectual property rights, trade and biodiversity</w:t>
      </w:r>
      <w:r w:rsidRPr="00B14CCC">
        <w:rPr>
          <w:rFonts w:ascii="Times New Roman" w:eastAsia="Times New Roman" w:hAnsi="Times New Roman" w:cs="Times New Roman"/>
          <w:sz w:val="24"/>
          <w:szCs w:val="24"/>
        </w:rPr>
        <w:t>. Earthscan.</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Finger, J. M., &amp; Schuler, P. (Eds.). (2004). </w:t>
      </w:r>
      <w:r w:rsidRPr="00B14CCC">
        <w:rPr>
          <w:rFonts w:ascii="Times New Roman" w:eastAsia="Times New Roman" w:hAnsi="Times New Roman" w:cs="Times New Roman"/>
          <w:i/>
          <w:iCs/>
          <w:sz w:val="24"/>
          <w:szCs w:val="24"/>
        </w:rPr>
        <w:t>Poor people's knowledge: Promoting intellectual property in developing countries</w:t>
      </w:r>
      <w:r w:rsidRPr="00B14CCC">
        <w:rPr>
          <w:rFonts w:ascii="Times New Roman" w:eastAsia="Times New Roman" w:hAnsi="Times New Roman" w:cs="Times New Roman"/>
          <w:sz w:val="24"/>
          <w:szCs w:val="24"/>
        </w:rPr>
        <w:t>. World Bank and Oxford University Press.</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Gomez-Baggethun, E., Mingorría, S., Reyes-García, V., Calvet, L., &amp; Montes, C. (2010). Traditional ecological knowledge trends in the transition to a market economy: Empirical study in the Doñana natural areas. </w:t>
      </w:r>
      <w:r w:rsidRPr="00B14CCC">
        <w:rPr>
          <w:rFonts w:ascii="Times New Roman" w:eastAsia="Times New Roman" w:hAnsi="Times New Roman" w:cs="Times New Roman"/>
          <w:i/>
          <w:iCs/>
          <w:sz w:val="24"/>
          <w:szCs w:val="24"/>
        </w:rPr>
        <w:t>Conservation Biology</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24</w:t>
      </w:r>
      <w:r w:rsidRPr="00B14CCC">
        <w:rPr>
          <w:rFonts w:ascii="Times New Roman" w:eastAsia="Times New Roman" w:hAnsi="Times New Roman" w:cs="Times New Roman"/>
          <w:sz w:val="24"/>
          <w:szCs w:val="24"/>
        </w:rPr>
        <w:t xml:space="preserve">(3), 721-729. </w:t>
      </w:r>
      <w:hyperlink r:id="rId119" w:history="1">
        <w:r w:rsidRPr="00B14CCC">
          <w:rPr>
            <w:rFonts w:ascii="Times New Roman" w:eastAsia="Times New Roman" w:hAnsi="Times New Roman" w:cs="Times New Roman"/>
            <w:color w:val="0000FF"/>
            <w:sz w:val="24"/>
            <w:szCs w:val="24"/>
            <w:u w:val="single"/>
          </w:rPr>
          <w:t>https://doi.org/10.1111/j.1523-1739.2009.01401.x</w:t>
        </w:r>
      </w:hyperlink>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Guest, G. (2002). Market integration and the distribution of ecological knowledge within an Ecuadorian fishing community. </w:t>
      </w:r>
      <w:r w:rsidRPr="00B14CCC">
        <w:rPr>
          <w:rFonts w:ascii="Times New Roman" w:eastAsia="Times New Roman" w:hAnsi="Times New Roman" w:cs="Times New Roman"/>
          <w:i/>
          <w:iCs/>
          <w:sz w:val="24"/>
          <w:szCs w:val="24"/>
        </w:rPr>
        <w:t>Journal of Ecological Anthropology</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6</w:t>
      </w:r>
      <w:r w:rsidRPr="00B14CCC">
        <w:rPr>
          <w:rFonts w:ascii="Times New Roman" w:eastAsia="Times New Roman" w:hAnsi="Times New Roman" w:cs="Times New Roman"/>
          <w:sz w:val="24"/>
          <w:szCs w:val="24"/>
        </w:rPr>
        <w:t>(1), 38-49.</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 xml:space="preserve">Hamilton, A. C. (2004). Medicinal plants, conservation and livelihoods. </w:t>
      </w:r>
      <w:r w:rsidRPr="00B14CCC">
        <w:rPr>
          <w:rFonts w:ascii="Times New Roman" w:eastAsia="Times New Roman" w:hAnsi="Times New Roman" w:cs="Times New Roman"/>
          <w:i/>
          <w:iCs/>
          <w:sz w:val="24"/>
          <w:szCs w:val="24"/>
        </w:rPr>
        <w:t>Biodiversity and Conservation</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13</w:t>
      </w:r>
      <w:r w:rsidRPr="00B14CCC">
        <w:rPr>
          <w:rFonts w:ascii="Times New Roman" w:eastAsia="Times New Roman" w:hAnsi="Times New Roman" w:cs="Times New Roman"/>
          <w:sz w:val="24"/>
          <w:szCs w:val="24"/>
        </w:rPr>
        <w:t xml:space="preserve">(8), 1477-1517. </w:t>
      </w:r>
      <w:hyperlink r:id="rId120" w:history="1">
        <w:r w:rsidRPr="00B14CCC">
          <w:rPr>
            <w:rFonts w:ascii="Times New Roman" w:eastAsia="Times New Roman" w:hAnsi="Times New Roman" w:cs="Times New Roman"/>
            <w:color w:val="0000FF"/>
            <w:sz w:val="24"/>
            <w:szCs w:val="24"/>
            <w:u w:val="single"/>
          </w:rPr>
          <w:t>https://doi.org/10.1023/B:BIOC.0000021333.23413.42</w:t>
        </w:r>
      </w:hyperlink>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Harrison, K. D. (2007). </w:t>
      </w:r>
      <w:r w:rsidRPr="00B14CCC">
        <w:rPr>
          <w:rFonts w:ascii="Times New Roman" w:eastAsia="Times New Roman" w:hAnsi="Times New Roman" w:cs="Times New Roman"/>
          <w:i/>
          <w:iCs/>
          <w:sz w:val="24"/>
          <w:szCs w:val="24"/>
        </w:rPr>
        <w:t>When languages die: The extinction of the world's languages and the erosion of human knowledge</w:t>
      </w:r>
      <w:r w:rsidRPr="00B14CCC">
        <w:rPr>
          <w:rFonts w:ascii="Times New Roman" w:eastAsia="Times New Roman" w:hAnsi="Times New Roman" w:cs="Times New Roman"/>
          <w:sz w:val="24"/>
          <w:szCs w:val="24"/>
        </w:rPr>
        <w:t>. Oxford University Press.</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Henley, T. (2009). Returning home: The San reclaim the Kalahari. </w:t>
      </w:r>
      <w:r w:rsidRPr="00B14CCC">
        <w:rPr>
          <w:rFonts w:ascii="Times New Roman" w:eastAsia="Times New Roman" w:hAnsi="Times New Roman" w:cs="Times New Roman"/>
          <w:i/>
          <w:iCs/>
          <w:sz w:val="24"/>
          <w:szCs w:val="24"/>
        </w:rPr>
        <w:t>Cultural Survival Quarterly</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33</w:t>
      </w:r>
      <w:r w:rsidRPr="00B14CCC">
        <w:rPr>
          <w:rFonts w:ascii="Times New Roman" w:eastAsia="Times New Roman" w:hAnsi="Times New Roman" w:cs="Times New Roman"/>
          <w:sz w:val="24"/>
          <w:szCs w:val="24"/>
        </w:rPr>
        <w:t>(3), 22-25.</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Laird, S. A., &amp; Wynberg, R. P. (2008). Access and benefit-sharing in practice: Trends in partnerships across sectors. </w:t>
      </w:r>
      <w:r w:rsidRPr="00B14CCC">
        <w:rPr>
          <w:rFonts w:ascii="Times New Roman" w:eastAsia="Times New Roman" w:hAnsi="Times New Roman" w:cs="Times New Roman"/>
          <w:i/>
          <w:iCs/>
          <w:sz w:val="24"/>
          <w:szCs w:val="24"/>
        </w:rPr>
        <w:t>CBD Technical Series</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38</w:t>
      </w:r>
      <w:r w:rsidRPr="00B14CCC">
        <w:rPr>
          <w:rFonts w:ascii="Times New Roman" w:eastAsia="Times New Roman" w:hAnsi="Times New Roman" w:cs="Times New Roman"/>
          <w:sz w:val="24"/>
          <w:szCs w:val="24"/>
        </w:rPr>
        <w:t>, 1-140.</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Leonti, M. (2011). The future is written: Impact of scripts on the cognition, selection, knowledge and transmission of medicinal plant use and its implications for ethnobotany and ethnopharmacology. </w:t>
      </w:r>
      <w:r w:rsidRPr="00B14CCC">
        <w:rPr>
          <w:rFonts w:ascii="Times New Roman" w:eastAsia="Times New Roman" w:hAnsi="Times New Roman" w:cs="Times New Roman"/>
          <w:i/>
          <w:iCs/>
          <w:sz w:val="24"/>
          <w:szCs w:val="24"/>
        </w:rPr>
        <w:t>Journal of Ethnopharmacology</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134</w:t>
      </w:r>
      <w:r w:rsidRPr="00B14CCC">
        <w:rPr>
          <w:rFonts w:ascii="Times New Roman" w:eastAsia="Times New Roman" w:hAnsi="Times New Roman" w:cs="Times New Roman"/>
          <w:sz w:val="24"/>
          <w:szCs w:val="24"/>
        </w:rPr>
        <w:t xml:space="preserve">(3), 542-555. </w:t>
      </w:r>
      <w:hyperlink r:id="rId121" w:history="1">
        <w:r w:rsidRPr="00B14CCC">
          <w:rPr>
            <w:rFonts w:ascii="Times New Roman" w:eastAsia="Times New Roman" w:hAnsi="Times New Roman" w:cs="Times New Roman"/>
            <w:color w:val="0000FF"/>
            <w:sz w:val="24"/>
            <w:szCs w:val="24"/>
            <w:u w:val="single"/>
          </w:rPr>
          <w:t>https://doi.org/10.1016/j.jep.2011.01.017</w:t>
        </w:r>
      </w:hyperlink>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Lercari, N., Shiferaw, E., Forte, M., &amp; Kopper, R. (2018). Immersive visualization and curation of archaeological heritage data: Çatalhöyük and the Dig@IT App. </w:t>
      </w:r>
      <w:r w:rsidRPr="00B14CCC">
        <w:rPr>
          <w:rFonts w:ascii="Times New Roman" w:eastAsia="Times New Roman" w:hAnsi="Times New Roman" w:cs="Times New Roman"/>
          <w:i/>
          <w:iCs/>
          <w:sz w:val="24"/>
          <w:szCs w:val="24"/>
        </w:rPr>
        <w:t>Journal of Archaeological Method and Theory</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25</w:t>
      </w:r>
      <w:r w:rsidRPr="00B14CCC">
        <w:rPr>
          <w:rFonts w:ascii="Times New Roman" w:eastAsia="Times New Roman" w:hAnsi="Times New Roman" w:cs="Times New Roman"/>
          <w:sz w:val="24"/>
          <w:szCs w:val="24"/>
        </w:rPr>
        <w:t xml:space="preserve">(2), 368-392. </w:t>
      </w:r>
      <w:hyperlink r:id="rId122" w:history="1">
        <w:r w:rsidRPr="00B14CCC">
          <w:rPr>
            <w:rFonts w:ascii="Times New Roman" w:eastAsia="Times New Roman" w:hAnsi="Times New Roman" w:cs="Times New Roman"/>
            <w:color w:val="0000FF"/>
            <w:sz w:val="24"/>
            <w:szCs w:val="24"/>
            <w:u w:val="single"/>
          </w:rPr>
          <w:t>https://doi.org/10.1007/s10816-017-9340-4</w:t>
        </w:r>
      </w:hyperlink>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Maffi, L. (2005). Linguistic, cultural, and biological diversity. </w:t>
      </w:r>
      <w:r w:rsidRPr="00B14CCC">
        <w:rPr>
          <w:rFonts w:ascii="Times New Roman" w:eastAsia="Times New Roman" w:hAnsi="Times New Roman" w:cs="Times New Roman"/>
          <w:i/>
          <w:iCs/>
          <w:sz w:val="24"/>
          <w:szCs w:val="24"/>
        </w:rPr>
        <w:t>Annual Review of Anthropology</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29</w:t>
      </w:r>
      <w:r w:rsidRPr="00B14CCC">
        <w:rPr>
          <w:rFonts w:ascii="Times New Roman" w:eastAsia="Times New Roman" w:hAnsi="Times New Roman" w:cs="Times New Roman"/>
          <w:sz w:val="24"/>
          <w:szCs w:val="24"/>
        </w:rPr>
        <w:t xml:space="preserve">(1), 599-617. </w:t>
      </w:r>
      <w:hyperlink r:id="rId123" w:history="1">
        <w:r w:rsidRPr="00B14CCC">
          <w:rPr>
            <w:rFonts w:ascii="Times New Roman" w:eastAsia="Times New Roman" w:hAnsi="Times New Roman" w:cs="Times New Roman"/>
            <w:color w:val="0000FF"/>
            <w:sz w:val="24"/>
            <w:szCs w:val="24"/>
            <w:u w:val="single"/>
          </w:rPr>
          <w:t>https://doi.org/10.1146/annurev.anthro.29.1.599</w:t>
        </w:r>
      </w:hyperlink>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Maffi, L., &amp; Woodley, E. (2010). </w:t>
      </w:r>
      <w:r w:rsidRPr="00B14CCC">
        <w:rPr>
          <w:rFonts w:ascii="Times New Roman" w:eastAsia="Times New Roman" w:hAnsi="Times New Roman" w:cs="Times New Roman"/>
          <w:i/>
          <w:iCs/>
          <w:sz w:val="24"/>
          <w:szCs w:val="24"/>
        </w:rPr>
        <w:t>Biocultural diversity conservation: A global sourcebook</w:t>
      </w:r>
      <w:r w:rsidRPr="00B14CCC">
        <w:rPr>
          <w:rFonts w:ascii="Times New Roman" w:eastAsia="Times New Roman" w:hAnsi="Times New Roman" w:cs="Times New Roman"/>
          <w:sz w:val="24"/>
          <w:szCs w:val="24"/>
        </w:rPr>
        <w:t>. Earthscan.</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Mark, G. T., &amp; Lyons, A. C. (2010). Maori healers' views on wellbeing: The importance of mind, body, spirit, family and land. </w:t>
      </w:r>
      <w:r w:rsidRPr="00B14CCC">
        <w:rPr>
          <w:rFonts w:ascii="Times New Roman" w:eastAsia="Times New Roman" w:hAnsi="Times New Roman" w:cs="Times New Roman"/>
          <w:i/>
          <w:iCs/>
          <w:sz w:val="24"/>
          <w:szCs w:val="24"/>
        </w:rPr>
        <w:t>Social Science &amp; Medicine</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70</w:t>
      </w:r>
      <w:r w:rsidRPr="00B14CCC">
        <w:rPr>
          <w:rFonts w:ascii="Times New Roman" w:eastAsia="Times New Roman" w:hAnsi="Times New Roman" w:cs="Times New Roman"/>
          <w:sz w:val="24"/>
          <w:szCs w:val="24"/>
        </w:rPr>
        <w:t xml:space="preserve">(11), 1756-1764. </w:t>
      </w:r>
      <w:hyperlink r:id="rId124" w:history="1">
        <w:r w:rsidRPr="00B14CCC">
          <w:rPr>
            <w:rFonts w:ascii="Times New Roman" w:eastAsia="Times New Roman" w:hAnsi="Times New Roman" w:cs="Times New Roman"/>
            <w:color w:val="0000FF"/>
            <w:sz w:val="24"/>
            <w:szCs w:val="24"/>
            <w:u w:val="single"/>
          </w:rPr>
          <w:t>https://doi.org/10.1016/j.socscimed.2010.02.001</w:t>
        </w:r>
      </w:hyperlink>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Mazzocchi, F. (2006). Western science and traditional knowledge. </w:t>
      </w:r>
      <w:r w:rsidRPr="00B14CCC">
        <w:rPr>
          <w:rFonts w:ascii="Times New Roman" w:eastAsia="Times New Roman" w:hAnsi="Times New Roman" w:cs="Times New Roman"/>
          <w:i/>
          <w:iCs/>
          <w:sz w:val="24"/>
          <w:szCs w:val="24"/>
        </w:rPr>
        <w:t>EMBO Reports</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7</w:t>
      </w:r>
      <w:r w:rsidRPr="00B14CCC">
        <w:rPr>
          <w:rFonts w:ascii="Times New Roman" w:eastAsia="Times New Roman" w:hAnsi="Times New Roman" w:cs="Times New Roman"/>
          <w:sz w:val="24"/>
          <w:szCs w:val="24"/>
        </w:rPr>
        <w:t xml:space="preserve">(5), 463-466. </w:t>
      </w:r>
      <w:hyperlink r:id="rId125" w:history="1">
        <w:r w:rsidRPr="00B14CCC">
          <w:rPr>
            <w:rFonts w:ascii="Times New Roman" w:eastAsia="Times New Roman" w:hAnsi="Times New Roman" w:cs="Times New Roman"/>
            <w:color w:val="0000FF"/>
            <w:sz w:val="24"/>
            <w:szCs w:val="24"/>
            <w:u w:val="single"/>
          </w:rPr>
          <w:t>https://doi.org/10.1038/sj.embor.7400693</w:t>
        </w:r>
      </w:hyperlink>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Nesheim, I., Dhillion, S. S., &amp; Stølen, K. A. (2017). What happens to traditional knowledge and use of natural resources when people migrate? </w:t>
      </w:r>
      <w:r w:rsidRPr="00B14CCC">
        <w:rPr>
          <w:rFonts w:ascii="Times New Roman" w:eastAsia="Times New Roman" w:hAnsi="Times New Roman" w:cs="Times New Roman"/>
          <w:i/>
          <w:iCs/>
          <w:sz w:val="24"/>
          <w:szCs w:val="24"/>
        </w:rPr>
        <w:t>Human Ecology</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34</w:t>
      </w:r>
      <w:r w:rsidRPr="00B14CCC">
        <w:rPr>
          <w:rFonts w:ascii="Times New Roman" w:eastAsia="Times New Roman" w:hAnsi="Times New Roman" w:cs="Times New Roman"/>
          <w:sz w:val="24"/>
          <w:szCs w:val="24"/>
        </w:rPr>
        <w:t xml:space="preserve">(1), 99-131. </w:t>
      </w:r>
      <w:hyperlink r:id="rId126" w:history="1">
        <w:r w:rsidRPr="00B14CCC">
          <w:rPr>
            <w:rFonts w:ascii="Times New Roman" w:eastAsia="Times New Roman" w:hAnsi="Times New Roman" w:cs="Times New Roman"/>
            <w:color w:val="0000FF"/>
            <w:sz w:val="24"/>
            <w:szCs w:val="24"/>
            <w:u w:val="single"/>
          </w:rPr>
          <w:t>https://doi.org/10.1007/s10745-005-9004-y</w:t>
        </w:r>
      </w:hyperlink>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Posey, D. A., &amp; Dutfield, G. (1996). </w:t>
      </w:r>
      <w:r w:rsidRPr="00B14CCC">
        <w:rPr>
          <w:rFonts w:ascii="Times New Roman" w:eastAsia="Times New Roman" w:hAnsi="Times New Roman" w:cs="Times New Roman"/>
          <w:i/>
          <w:iCs/>
          <w:sz w:val="24"/>
          <w:szCs w:val="24"/>
        </w:rPr>
        <w:t>Beyond intellectual property: Toward traditional resource rights for indigenous peoples and local communities</w:t>
      </w:r>
      <w:r w:rsidRPr="00B14CCC">
        <w:rPr>
          <w:rFonts w:ascii="Times New Roman" w:eastAsia="Times New Roman" w:hAnsi="Times New Roman" w:cs="Times New Roman"/>
          <w:sz w:val="24"/>
          <w:szCs w:val="24"/>
        </w:rPr>
        <w:t>. International Development Research Centre.</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Pretty, J., Adams, B., Berkes, F., de Athayde, S. F., Dudley, N., Hunn, E., Maffi, L., Milton, K., Rapport, D., Robbins, P., Sterling, E., Stolton, S., Tsing, A., Vintinnerk, E., &amp; Pilgrim, S. (2009). The intersections of biological diversity and cultural diversity: Towards integration. </w:t>
      </w:r>
      <w:r w:rsidRPr="00B14CCC">
        <w:rPr>
          <w:rFonts w:ascii="Times New Roman" w:eastAsia="Times New Roman" w:hAnsi="Times New Roman" w:cs="Times New Roman"/>
          <w:i/>
          <w:iCs/>
          <w:sz w:val="24"/>
          <w:szCs w:val="24"/>
        </w:rPr>
        <w:t>Conservation and Society</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7</w:t>
      </w:r>
      <w:r w:rsidRPr="00B14CCC">
        <w:rPr>
          <w:rFonts w:ascii="Times New Roman" w:eastAsia="Times New Roman" w:hAnsi="Times New Roman" w:cs="Times New Roman"/>
          <w:sz w:val="24"/>
          <w:szCs w:val="24"/>
        </w:rPr>
        <w:t>(2), 100-112.</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Pyburn, A., &amp; Wyndham, F. S. (2018). Collaborative strategies for heritage and development. </w:t>
      </w:r>
      <w:r w:rsidRPr="00B14CCC">
        <w:rPr>
          <w:rFonts w:ascii="Times New Roman" w:eastAsia="Times New Roman" w:hAnsi="Times New Roman" w:cs="Times New Roman"/>
          <w:i/>
          <w:iCs/>
          <w:sz w:val="24"/>
          <w:szCs w:val="24"/>
        </w:rPr>
        <w:t>World Archaeology</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50</w:t>
      </w:r>
      <w:r w:rsidRPr="00B14CCC">
        <w:rPr>
          <w:rFonts w:ascii="Times New Roman" w:eastAsia="Times New Roman" w:hAnsi="Times New Roman" w:cs="Times New Roman"/>
          <w:sz w:val="24"/>
          <w:szCs w:val="24"/>
        </w:rPr>
        <w:t xml:space="preserve">(4), 547-560. </w:t>
      </w:r>
      <w:hyperlink r:id="rId127" w:history="1">
        <w:r w:rsidRPr="00B14CCC">
          <w:rPr>
            <w:rFonts w:ascii="Times New Roman" w:eastAsia="Times New Roman" w:hAnsi="Times New Roman" w:cs="Times New Roman"/>
            <w:color w:val="0000FF"/>
            <w:sz w:val="24"/>
            <w:szCs w:val="24"/>
            <w:u w:val="single"/>
          </w:rPr>
          <w:t>https://doi.org/10.1080/00438243.2018.1537092</w:t>
        </w:r>
      </w:hyperlink>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Quinlan, M. B., &amp; Quinlan, R. J. (2007). Modernization and medicinal plant knowledge in a Caribbean horticultural village. </w:t>
      </w:r>
      <w:r w:rsidRPr="00B14CCC">
        <w:rPr>
          <w:rFonts w:ascii="Times New Roman" w:eastAsia="Times New Roman" w:hAnsi="Times New Roman" w:cs="Times New Roman"/>
          <w:i/>
          <w:iCs/>
          <w:sz w:val="24"/>
          <w:szCs w:val="24"/>
        </w:rPr>
        <w:t>Medical Anthropology Quarterly</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21</w:t>
      </w:r>
      <w:r w:rsidRPr="00B14CCC">
        <w:rPr>
          <w:rFonts w:ascii="Times New Roman" w:eastAsia="Times New Roman" w:hAnsi="Times New Roman" w:cs="Times New Roman"/>
          <w:sz w:val="24"/>
          <w:szCs w:val="24"/>
        </w:rPr>
        <w:t xml:space="preserve">(2), 169-192. </w:t>
      </w:r>
      <w:hyperlink r:id="rId128" w:history="1">
        <w:r w:rsidRPr="00B14CCC">
          <w:rPr>
            <w:rFonts w:ascii="Times New Roman" w:eastAsia="Times New Roman" w:hAnsi="Times New Roman" w:cs="Times New Roman"/>
            <w:color w:val="0000FF"/>
            <w:sz w:val="24"/>
            <w:szCs w:val="24"/>
            <w:u w:val="single"/>
          </w:rPr>
          <w:t>https://doi.org/10.1525/maq.2007.21.2.169</w:t>
        </w:r>
      </w:hyperlink>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Reyes-García, V., Kightley, E., Ruiz-Mallén, I., Fuentes-Peláez, N., Demps, K., Huanca, T., &amp; Martínez-Rodríguez, M. R. (2009). Schooling and local environmental knowledge: </w:t>
      </w:r>
      <w:r w:rsidRPr="00B14CCC">
        <w:rPr>
          <w:rFonts w:ascii="Times New Roman" w:eastAsia="Times New Roman" w:hAnsi="Times New Roman" w:cs="Times New Roman"/>
          <w:sz w:val="24"/>
          <w:szCs w:val="24"/>
        </w:rPr>
        <w:lastRenderedPageBreak/>
        <w:t xml:space="preserve">Do they complement or substitute each other? </w:t>
      </w:r>
      <w:r w:rsidRPr="00B14CCC">
        <w:rPr>
          <w:rFonts w:ascii="Times New Roman" w:eastAsia="Times New Roman" w:hAnsi="Times New Roman" w:cs="Times New Roman"/>
          <w:i/>
          <w:iCs/>
          <w:sz w:val="24"/>
          <w:szCs w:val="24"/>
        </w:rPr>
        <w:t>International Journal of Educational Development</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30</w:t>
      </w:r>
      <w:r w:rsidRPr="00B14CCC">
        <w:rPr>
          <w:rFonts w:ascii="Times New Roman" w:eastAsia="Times New Roman" w:hAnsi="Times New Roman" w:cs="Times New Roman"/>
          <w:sz w:val="24"/>
          <w:szCs w:val="24"/>
        </w:rPr>
        <w:t xml:space="preserve">(3), 305-313. </w:t>
      </w:r>
      <w:hyperlink r:id="rId129" w:history="1">
        <w:r w:rsidRPr="00B14CCC">
          <w:rPr>
            <w:rFonts w:ascii="Times New Roman" w:eastAsia="Times New Roman" w:hAnsi="Times New Roman" w:cs="Times New Roman"/>
            <w:color w:val="0000FF"/>
            <w:sz w:val="24"/>
            <w:szCs w:val="24"/>
            <w:u w:val="single"/>
          </w:rPr>
          <w:t>https://doi.org/10.1016/j.ijedudev.2009.11.007</w:t>
        </w:r>
      </w:hyperlink>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Reyes-García, V., Guèze, M., Luz, A. C., Paneque-Gálvez, J., Macía, M. J., Orta-Martínez, M., Pino, J., &amp; Rubio-Campillo, X. (2013). Evidence of traditional knowledge loss among a contemporary indigenous society. </w:t>
      </w:r>
      <w:r w:rsidRPr="00B14CCC">
        <w:rPr>
          <w:rFonts w:ascii="Times New Roman" w:eastAsia="Times New Roman" w:hAnsi="Times New Roman" w:cs="Times New Roman"/>
          <w:i/>
          <w:iCs/>
          <w:sz w:val="24"/>
          <w:szCs w:val="24"/>
        </w:rPr>
        <w:t>Evolution and Human Behavior</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34</w:t>
      </w:r>
      <w:r w:rsidRPr="00B14CCC">
        <w:rPr>
          <w:rFonts w:ascii="Times New Roman" w:eastAsia="Times New Roman" w:hAnsi="Times New Roman" w:cs="Times New Roman"/>
          <w:sz w:val="24"/>
          <w:szCs w:val="24"/>
        </w:rPr>
        <w:t xml:space="preserve">(4), 249-257. </w:t>
      </w:r>
      <w:hyperlink r:id="rId130" w:history="1">
        <w:r w:rsidRPr="00B14CCC">
          <w:rPr>
            <w:rFonts w:ascii="Times New Roman" w:eastAsia="Times New Roman" w:hAnsi="Times New Roman" w:cs="Times New Roman"/>
            <w:color w:val="0000FF"/>
            <w:sz w:val="24"/>
            <w:szCs w:val="24"/>
            <w:u w:val="single"/>
          </w:rPr>
          <w:t>https://doi.org/10.1016/j.evolhumbehav.2013.03.002</w:t>
        </w:r>
      </w:hyperlink>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Reyes-García, V., Fernández-Llamazares, </w:t>
      </w:r>
      <w:proofErr w:type="gramStart"/>
      <w:r w:rsidRPr="00B14CCC">
        <w:rPr>
          <w:rFonts w:ascii="Times New Roman" w:eastAsia="Times New Roman" w:hAnsi="Times New Roman" w:cs="Times New Roman"/>
          <w:sz w:val="24"/>
          <w:szCs w:val="24"/>
        </w:rPr>
        <w:t>Á.,</w:t>
      </w:r>
      <w:proofErr w:type="gramEnd"/>
      <w:r w:rsidRPr="00B14CCC">
        <w:rPr>
          <w:rFonts w:ascii="Times New Roman" w:eastAsia="Times New Roman" w:hAnsi="Times New Roman" w:cs="Times New Roman"/>
          <w:sz w:val="24"/>
          <w:szCs w:val="24"/>
        </w:rPr>
        <w:t xml:space="preserve"> Guèze, M., Garcés, A., Mallo, M., Vila-Gómez, M., &amp; Vilaseca, M. (2021). Local indicators of climate change: The potential contribution of local knowledge to climate research. </w:t>
      </w:r>
      <w:r w:rsidRPr="00B14CCC">
        <w:rPr>
          <w:rFonts w:ascii="Times New Roman" w:eastAsia="Times New Roman" w:hAnsi="Times New Roman" w:cs="Times New Roman"/>
          <w:i/>
          <w:iCs/>
          <w:sz w:val="24"/>
          <w:szCs w:val="24"/>
        </w:rPr>
        <w:t>Wiley Interdisciplinary Reviews: Climate Change</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7</w:t>
      </w:r>
      <w:r w:rsidRPr="00B14CCC">
        <w:rPr>
          <w:rFonts w:ascii="Times New Roman" w:eastAsia="Times New Roman" w:hAnsi="Times New Roman" w:cs="Times New Roman"/>
          <w:sz w:val="24"/>
          <w:szCs w:val="24"/>
        </w:rPr>
        <w:t xml:space="preserve">(1), 109-124. </w:t>
      </w:r>
      <w:hyperlink r:id="rId131" w:history="1">
        <w:r w:rsidRPr="00B14CCC">
          <w:rPr>
            <w:rFonts w:ascii="Times New Roman" w:eastAsia="Times New Roman" w:hAnsi="Times New Roman" w:cs="Times New Roman"/>
            <w:color w:val="0000FF"/>
            <w:sz w:val="24"/>
            <w:szCs w:val="24"/>
            <w:u w:val="single"/>
          </w:rPr>
          <w:t>https://doi.org/10.1002/wcc.374</w:t>
        </w:r>
      </w:hyperlink>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Ritchie, S. D., Wabano, M. J., Russell, K., Enosse, L., &amp; Young, N. L. (2013). Promoting resilience and wellbeing through an outdoor intervention designed for Aboriginal adolescents. </w:t>
      </w:r>
      <w:r w:rsidRPr="00B14CCC">
        <w:rPr>
          <w:rFonts w:ascii="Times New Roman" w:eastAsia="Times New Roman" w:hAnsi="Times New Roman" w:cs="Times New Roman"/>
          <w:i/>
          <w:iCs/>
          <w:sz w:val="24"/>
          <w:szCs w:val="24"/>
        </w:rPr>
        <w:t>Rural and Remote Health</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14</w:t>
      </w:r>
      <w:r w:rsidRPr="00B14CCC">
        <w:rPr>
          <w:rFonts w:ascii="Times New Roman" w:eastAsia="Times New Roman" w:hAnsi="Times New Roman" w:cs="Times New Roman"/>
          <w:sz w:val="24"/>
          <w:szCs w:val="24"/>
        </w:rPr>
        <w:t>(1), 2523.</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Robinson, D. F. (2010). </w:t>
      </w:r>
      <w:r w:rsidRPr="00B14CCC">
        <w:rPr>
          <w:rFonts w:ascii="Times New Roman" w:eastAsia="Times New Roman" w:hAnsi="Times New Roman" w:cs="Times New Roman"/>
          <w:i/>
          <w:iCs/>
          <w:sz w:val="24"/>
          <w:szCs w:val="24"/>
        </w:rPr>
        <w:t>Confronting biopiracy: Challenges, cases and international debates</w:t>
      </w:r>
      <w:r w:rsidRPr="00B14CCC">
        <w:rPr>
          <w:rFonts w:ascii="Times New Roman" w:eastAsia="Times New Roman" w:hAnsi="Times New Roman" w:cs="Times New Roman"/>
          <w:sz w:val="24"/>
          <w:szCs w:val="24"/>
        </w:rPr>
        <w:t>. Earthscan.</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Shanley, P., &amp; Luz, L. (2003). The impacts of forest degradation on medicinal plant use and implications for health care in eastern Amazonia. </w:t>
      </w:r>
      <w:r w:rsidRPr="00B14CCC">
        <w:rPr>
          <w:rFonts w:ascii="Times New Roman" w:eastAsia="Times New Roman" w:hAnsi="Times New Roman" w:cs="Times New Roman"/>
          <w:i/>
          <w:iCs/>
          <w:sz w:val="24"/>
          <w:szCs w:val="24"/>
        </w:rPr>
        <w:t>BioScience</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53</w:t>
      </w:r>
      <w:r w:rsidRPr="00B14CCC">
        <w:rPr>
          <w:rFonts w:ascii="Times New Roman" w:eastAsia="Times New Roman" w:hAnsi="Times New Roman" w:cs="Times New Roman"/>
          <w:sz w:val="24"/>
          <w:szCs w:val="24"/>
        </w:rPr>
        <w:t>(6), 573-584.</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Sillitoe, P. (1998). The development of indigenous knowledge: A new applied anthropology. </w:t>
      </w:r>
      <w:r w:rsidRPr="00B14CCC">
        <w:rPr>
          <w:rFonts w:ascii="Times New Roman" w:eastAsia="Times New Roman" w:hAnsi="Times New Roman" w:cs="Times New Roman"/>
          <w:i/>
          <w:iCs/>
          <w:sz w:val="24"/>
          <w:szCs w:val="24"/>
        </w:rPr>
        <w:t>Current Anthropology</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39</w:t>
      </w:r>
      <w:r w:rsidRPr="00B14CCC">
        <w:rPr>
          <w:rFonts w:ascii="Times New Roman" w:eastAsia="Times New Roman" w:hAnsi="Times New Roman" w:cs="Times New Roman"/>
          <w:sz w:val="24"/>
          <w:szCs w:val="24"/>
        </w:rPr>
        <w:t>(2), 223-252.</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Sillitoe, P. (2007). Local science vs. global science: An overview. In P. Sillitoe (Ed.), </w:t>
      </w:r>
      <w:r w:rsidRPr="00B14CCC">
        <w:rPr>
          <w:rFonts w:ascii="Times New Roman" w:eastAsia="Times New Roman" w:hAnsi="Times New Roman" w:cs="Times New Roman"/>
          <w:i/>
          <w:iCs/>
          <w:sz w:val="24"/>
          <w:szCs w:val="24"/>
        </w:rPr>
        <w:t>Local science vs. global science: Approaches to indigenous knowledge in international development</w:t>
      </w:r>
      <w:r w:rsidRPr="00B14CCC">
        <w:rPr>
          <w:rFonts w:ascii="Times New Roman" w:eastAsia="Times New Roman" w:hAnsi="Times New Roman" w:cs="Times New Roman"/>
          <w:sz w:val="24"/>
          <w:szCs w:val="24"/>
        </w:rPr>
        <w:t xml:space="preserve"> (pp. 1-22). Berghahn Books.</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Smith, L. T. (2012). </w:t>
      </w:r>
      <w:r w:rsidRPr="00B14CCC">
        <w:rPr>
          <w:rFonts w:ascii="Times New Roman" w:eastAsia="Times New Roman" w:hAnsi="Times New Roman" w:cs="Times New Roman"/>
          <w:i/>
          <w:iCs/>
          <w:sz w:val="24"/>
          <w:szCs w:val="24"/>
        </w:rPr>
        <w:t>Decolonizing methodologies: Research and indigenous peoples</w:t>
      </w:r>
      <w:r w:rsidRPr="00B14CCC">
        <w:rPr>
          <w:rFonts w:ascii="Times New Roman" w:eastAsia="Times New Roman" w:hAnsi="Times New Roman" w:cs="Times New Roman"/>
          <w:sz w:val="24"/>
          <w:szCs w:val="24"/>
        </w:rPr>
        <w:t xml:space="preserve"> (2nd </w:t>
      </w:r>
      <w:proofErr w:type="gramStart"/>
      <w:r w:rsidRPr="00B14CCC">
        <w:rPr>
          <w:rFonts w:ascii="Times New Roman" w:eastAsia="Times New Roman" w:hAnsi="Times New Roman" w:cs="Times New Roman"/>
          <w:sz w:val="24"/>
          <w:szCs w:val="24"/>
        </w:rPr>
        <w:t>ed</w:t>
      </w:r>
      <w:proofErr w:type="gramEnd"/>
      <w:r w:rsidRPr="00B14CCC">
        <w:rPr>
          <w:rFonts w:ascii="Times New Roman" w:eastAsia="Times New Roman" w:hAnsi="Times New Roman" w:cs="Times New Roman"/>
          <w:sz w:val="24"/>
          <w:szCs w:val="24"/>
        </w:rPr>
        <w:t>.). Zed Books.</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Srithi, K., Balslev, H., Wangpakapattanawong, P., Srisanga, P., &amp; Trisonthi, C. (2012). Medicinal plant knowledge and its erosion among the Mien (Yao) in northern Thailand. </w:t>
      </w:r>
      <w:r w:rsidRPr="00B14CCC">
        <w:rPr>
          <w:rFonts w:ascii="Times New Roman" w:eastAsia="Times New Roman" w:hAnsi="Times New Roman" w:cs="Times New Roman"/>
          <w:i/>
          <w:iCs/>
          <w:sz w:val="24"/>
          <w:szCs w:val="24"/>
        </w:rPr>
        <w:t>Journal of Ethnopharmacology</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123</w:t>
      </w:r>
      <w:r w:rsidRPr="00B14CCC">
        <w:rPr>
          <w:rFonts w:ascii="Times New Roman" w:eastAsia="Times New Roman" w:hAnsi="Times New Roman" w:cs="Times New Roman"/>
          <w:sz w:val="24"/>
          <w:szCs w:val="24"/>
        </w:rPr>
        <w:t xml:space="preserve">(2), 335-342. </w:t>
      </w:r>
      <w:hyperlink r:id="rId132" w:history="1">
        <w:r w:rsidRPr="00B14CCC">
          <w:rPr>
            <w:rFonts w:ascii="Times New Roman" w:eastAsia="Times New Roman" w:hAnsi="Times New Roman" w:cs="Times New Roman"/>
            <w:color w:val="0000FF"/>
            <w:sz w:val="24"/>
            <w:szCs w:val="24"/>
            <w:u w:val="single"/>
          </w:rPr>
          <w:t>https://doi.org/10.1016/j.jep.2009.02.035</w:t>
        </w:r>
      </w:hyperlink>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Struthers, R., &amp; Eschiti, V. S. (2005). Being healed by an indigenous traditional healer: Perspectives of non-aboriginal Canadians. </w:t>
      </w:r>
      <w:r w:rsidRPr="00B14CCC">
        <w:rPr>
          <w:rFonts w:ascii="Times New Roman" w:eastAsia="Times New Roman" w:hAnsi="Times New Roman" w:cs="Times New Roman"/>
          <w:i/>
          <w:iCs/>
          <w:sz w:val="24"/>
          <w:szCs w:val="24"/>
        </w:rPr>
        <w:t>Journal of Holistic Nursing</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23</w:t>
      </w:r>
      <w:r w:rsidRPr="00B14CCC">
        <w:rPr>
          <w:rFonts w:ascii="Times New Roman" w:eastAsia="Times New Roman" w:hAnsi="Times New Roman" w:cs="Times New Roman"/>
          <w:sz w:val="24"/>
          <w:szCs w:val="24"/>
        </w:rPr>
        <w:t xml:space="preserve">(4), 435-453. </w:t>
      </w:r>
      <w:hyperlink r:id="rId133" w:history="1">
        <w:r w:rsidRPr="00B14CCC">
          <w:rPr>
            <w:rFonts w:ascii="Times New Roman" w:eastAsia="Times New Roman" w:hAnsi="Times New Roman" w:cs="Times New Roman"/>
            <w:color w:val="0000FF"/>
            <w:sz w:val="24"/>
            <w:szCs w:val="24"/>
            <w:u w:val="single"/>
          </w:rPr>
          <w:t>https://doi.org/10.1177/0898010105279985</w:t>
        </w:r>
      </w:hyperlink>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Taylor, K. (2005). </w:t>
      </w:r>
      <w:r w:rsidRPr="00B14CCC">
        <w:rPr>
          <w:rFonts w:ascii="Times New Roman" w:eastAsia="Times New Roman" w:hAnsi="Times New Roman" w:cs="Times New Roman"/>
          <w:i/>
          <w:iCs/>
          <w:sz w:val="24"/>
          <w:szCs w:val="24"/>
        </w:rPr>
        <w:t>Chinese medicine in early communist China, 1945-1963: Medicine of revolution</w:t>
      </w:r>
      <w:r w:rsidRPr="00B14CCC">
        <w:rPr>
          <w:rFonts w:ascii="Times New Roman" w:eastAsia="Times New Roman" w:hAnsi="Times New Roman" w:cs="Times New Roman"/>
          <w:sz w:val="24"/>
          <w:szCs w:val="24"/>
        </w:rPr>
        <w:t>. Routledge.</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Tengö, M., Brondizio, E. S., Elmqvist, T., Malmer, P., &amp; Spierenburg, M. (2014). Connecting diverse knowledge systems for enhanced ecosystem governance: The multiple evidence base approach. </w:t>
      </w:r>
      <w:r w:rsidRPr="00B14CCC">
        <w:rPr>
          <w:rFonts w:ascii="Times New Roman" w:eastAsia="Times New Roman" w:hAnsi="Times New Roman" w:cs="Times New Roman"/>
          <w:i/>
          <w:iCs/>
          <w:sz w:val="24"/>
          <w:szCs w:val="24"/>
        </w:rPr>
        <w:t>AMBIO</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43</w:t>
      </w:r>
      <w:r w:rsidRPr="00B14CCC">
        <w:rPr>
          <w:rFonts w:ascii="Times New Roman" w:eastAsia="Times New Roman" w:hAnsi="Times New Roman" w:cs="Times New Roman"/>
          <w:sz w:val="24"/>
          <w:szCs w:val="24"/>
        </w:rPr>
        <w:t xml:space="preserve">(5), 579-591. </w:t>
      </w:r>
      <w:hyperlink r:id="rId134" w:history="1">
        <w:r w:rsidRPr="00B14CCC">
          <w:rPr>
            <w:rFonts w:ascii="Times New Roman" w:eastAsia="Times New Roman" w:hAnsi="Times New Roman" w:cs="Times New Roman"/>
            <w:color w:val="0000FF"/>
            <w:sz w:val="24"/>
            <w:szCs w:val="24"/>
            <w:u w:val="single"/>
          </w:rPr>
          <w:t>https://doi.org/10.1007/s13280-014-0501-3</w:t>
        </w:r>
      </w:hyperlink>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Tobin, B. (2014). Indigenous peoples, customary law and human rights – why living law matters. Routledge.</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United Nations. (2007). </w:t>
      </w:r>
      <w:r w:rsidRPr="00B14CCC">
        <w:rPr>
          <w:rFonts w:ascii="Times New Roman" w:eastAsia="Times New Roman" w:hAnsi="Times New Roman" w:cs="Times New Roman"/>
          <w:i/>
          <w:iCs/>
          <w:sz w:val="24"/>
          <w:szCs w:val="24"/>
        </w:rPr>
        <w:t>United Nations Declaration on the Rights of Indigenous Peoples</w:t>
      </w:r>
      <w:r w:rsidRPr="00B14CCC">
        <w:rPr>
          <w:rFonts w:ascii="Times New Roman" w:eastAsia="Times New Roman" w:hAnsi="Times New Roman" w:cs="Times New Roman"/>
          <w:sz w:val="24"/>
          <w:szCs w:val="24"/>
        </w:rPr>
        <w:t>. United Nations.</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United Nations Educational, Scientific and Cultural Organization. (2021). </w:t>
      </w:r>
      <w:r w:rsidRPr="00B14CCC">
        <w:rPr>
          <w:rFonts w:ascii="Times New Roman" w:eastAsia="Times New Roman" w:hAnsi="Times New Roman" w:cs="Times New Roman"/>
          <w:i/>
          <w:iCs/>
          <w:sz w:val="24"/>
          <w:szCs w:val="24"/>
        </w:rPr>
        <w:t>Atlas of the world's languages in danger</w:t>
      </w:r>
      <w:r w:rsidRPr="00B14CCC">
        <w:rPr>
          <w:rFonts w:ascii="Times New Roman" w:eastAsia="Times New Roman" w:hAnsi="Times New Roman" w:cs="Times New Roman"/>
          <w:sz w:val="24"/>
          <w:szCs w:val="24"/>
        </w:rPr>
        <w:t>. UNESCO Publishing.</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 xml:space="preserve">Vandebroek, I., Calewaert, J. B., De Jonckheere, S., Sanca, S., Semo, L., Van Damme, P., Van Puyvelde, L., &amp; De Kimpe, N. (2011). Use of medicinal plants and pharmaceuticals by indigenous communities in the Bolivian Andes and Amazon. </w:t>
      </w:r>
      <w:r w:rsidRPr="00B14CCC">
        <w:rPr>
          <w:rFonts w:ascii="Times New Roman" w:eastAsia="Times New Roman" w:hAnsi="Times New Roman" w:cs="Times New Roman"/>
          <w:i/>
          <w:iCs/>
          <w:sz w:val="24"/>
          <w:szCs w:val="24"/>
        </w:rPr>
        <w:t>Bulletin of the World Health Organization</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82</w:t>
      </w:r>
      <w:r w:rsidRPr="00B14CCC">
        <w:rPr>
          <w:rFonts w:ascii="Times New Roman" w:eastAsia="Times New Roman" w:hAnsi="Times New Roman" w:cs="Times New Roman"/>
          <w:sz w:val="24"/>
          <w:szCs w:val="24"/>
        </w:rPr>
        <w:t>(4), 243-250.</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Wepa, D. (Ed.). (2005). </w:t>
      </w:r>
      <w:r w:rsidRPr="00B14CCC">
        <w:rPr>
          <w:rFonts w:ascii="Times New Roman" w:eastAsia="Times New Roman" w:hAnsi="Times New Roman" w:cs="Times New Roman"/>
          <w:i/>
          <w:iCs/>
          <w:sz w:val="24"/>
          <w:szCs w:val="24"/>
        </w:rPr>
        <w:t>Cultural safety in Aotearoa New Zealand</w:t>
      </w:r>
      <w:r w:rsidRPr="00B14CCC">
        <w:rPr>
          <w:rFonts w:ascii="Times New Roman" w:eastAsia="Times New Roman" w:hAnsi="Times New Roman" w:cs="Times New Roman"/>
          <w:sz w:val="24"/>
          <w:szCs w:val="24"/>
        </w:rPr>
        <w:t>. Pearson Education.</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World Health Organization. (2019). </w:t>
      </w:r>
      <w:r w:rsidRPr="00B14CCC">
        <w:rPr>
          <w:rFonts w:ascii="Times New Roman" w:eastAsia="Times New Roman" w:hAnsi="Times New Roman" w:cs="Times New Roman"/>
          <w:i/>
          <w:iCs/>
          <w:sz w:val="24"/>
          <w:szCs w:val="24"/>
        </w:rPr>
        <w:t>WHO global report on traditional and complementary medicine 2019</w:t>
      </w:r>
      <w:r w:rsidRPr="00B14CCC">
        <w:rPr>
          <w:rFonts w:ascii="Times New Roman" w:eastAsia="Times New Roman" w:hAnsi="Times New Roman" w:cs="Times New Roman"/>
          <w:sz w:val="24"/>
          <w:szCs w:val="24"/>
        </w:rPr>
        <w:t>. World Health Organization.</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Wynberg, R., Schroeder, D., &amp; Chennells, R. (Eds.). (2009). </w:t>
      </w:r>
      <w:r w:rsidRPr="00B14CCC">
        <w:rPr>
          <w:rFonts w:ascii="Times New Roman" w:eastAsia="Times New Roman" w:hAnsi="Times New Roman" w:cs="Times New Roman"/>
          <w:i/>
          <w:iCs/>
          <w:sz w:val="24"/>
          <w:szCs w:val="24"/>
        </w:rPr>
        <w:t>Indigenous peoples, consent and benefit sharing: Lessons from the San-Hoodia case</w:t>
      </w:r>
      <w:r w:rsidRPr="00B14CCC">
        <w:rPr>
          <w:rFonts w:ascii="Times New Roman" w:eastAsia="Times New Roman" w:hAnsi="Times New Roman" w:cs="Times New Roman"/>
          <w:sz w:val="24"/>
          <w:szCs w:val="24"/>
        </w:rPr>
        <w:t>. Springer.</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Zarger, R. K., &amp; Stepp, J. R. (2004). Persistence of botanical knowledge among Tzeltal Maya children. </w:t>
      </w:r>
      <w:r w:rsidRPr="00B14CCC">
        <w:rPr>
          <w:rFonts w:ascii="Times New Roman" w:eastAsia="Times New Roman" w:hAnsi="Times New Roman" w:cs="Times New Roman"/>
          <w:i/>
          <w:iCs/>
          <w:sz w:val="24"/>
          <w:szCs w:val="24"/>
        </w:rPr>
        <w:t>Current Anthropology</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45</w:t>
      </w:r>
      <w:r w:rsidRPr="00B14CCC">
        <w:rPr>
          <w:rFonts w:ascii="Times New Roman" w:eastAsia="Times New Roman" w:hAnsi="Times New Roman" w:cs="Times New Roman"/>
          <w:sz w:val="24"/>
          <w:szCs w:val="24"/>
        </w:rPr>
        <w:t xml:space="preserve">(3), 413-418. </w:t>
      </w:r>
      <w:hyperlink r:id="rId135" w:history="1">
        <w:r w:rsidRPr="00B14CCC">
          <w:rPr>
            <w:rFonts w:ascii="Times New Roman" w:eastAsia="Times New Roman" w:hAnsi="Times New Roman" w:cs="Times New Roman"/>
            <w:color w:val="0000FF"/>
            <w:sz w:val="24"/>
            <w:szCs w:val="24"/>
            <w:u w:val="single"/>
          </w:rPr>
          <w:t>https://doi.org/10.1086/420908</w:t>
        </w:r>
      </w:hyperlink>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Zent, S., &amp; Zent, E. L. (2004). Ethnobotanical convergence, divergence, and change among the Hoti. In J. S. Carlson &amp; L. Maffi (Eds.), </w:t>
      </w:r>
      <w:r w:rsidRPr="00B14CCC">
        <w:rPr>
          <w:rFonts w:ascii="Times New Roman" w:eastAsia="Times New Roman" w:hAnsi="Times New Roman" w:cs="Times New Roman"/>
          <w:i/>
          <w:iCs/>
          <w:sz w:val="24"/>
          <w:szCs w:val="24"/>
        </w:rPr>
        <w:t>Ethnobotany and conservation of biocultural diversity</w:t>
      </w:r>
      <w:r w:rsidRPr="00B14CCC">
        <w:rPr>
          <w:rFonts w:ascii="Times New Roman" w:eastAsia="Times New Roman" w:hAnsi="Times New Roman" w:cs="Times New Roman"/>
          <w:sz w:val="24"/>
          <w:szCs w:val="24"/>
        </w:rPr>
        <w:t xml:space="preserve"> (pp. 37-78). New York Botanical Garden Press.</w:t>
      </w:r>
    </w:p>
    <w:p w:rsidR="00B74093" w:rsidRPr="00B14CCC" w:rsidRDefault="00B74093" w:rsidP="00B14CCC">
      <w:pPr>
        <w:pStyle w:val="ListParagraph"/>
        <w:numPr>
          <w:ilvl w:val="0"/>
          <w:numId w:val="9"/>
        </w:numPr>
        <w:ind w:left="360"/>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Zhan, M. (2009). </w:t>
      </w:r>
      <w:r w:rsidRPr="00B14CCC">
        <w:rPr>
          <w:rFonts w:ascii="Times New Roman" w:eastAsia="Times New Roman" w:hAnsi="Times New Roman" w:cs="Times New Roman"/>
          <w:i/>
          <w:iCs/>
          <w:sz w:val="24"/>
          <w:szCs w:val="24"/>
        </w:rPr>
        <w:t>Other-worldly: Making Chinese medicine through transnational frames</w:t>
      </w:r>
      <w:r w:rsidRPr="00B14CCC">
        <w:rPr>
          <w:rFonts w:ascii="Times New Roman" w:eastAsia="Times New Roman" w:hAnsi="Times New Roman" w:cs="Times New Roman"/>
          <w:sz w:val="24"/>
          <w:szCs w:val="24"/>
        </w:rPr>
        <w:t>. Duke University Press.</w:t>
      </w:r>
    </w:p>
    <w:p w:rsidR="00B74093" w:rsidRPr="00B14CCC" w:rsidRDefault="00B74093" w:rsidP="00B14CCC">
      <w:pPr>
        <w:jc w:val="both"/>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br w:type="page"/>
      </w:r>
    </w:p>
    <w:p w:rsidR="003A55A4" w:rsidRPr="00B14CCC" w:rsidRDefault="003A55A4" w:rsidP="00B14CCC">
      <w:pPr>
        <w:jc w:val="center"/>
        <w:outlineLvl w:val="0"/>
        <w:rPr>
          <w:rFonts w:ascii="Times New Roman" w:eastAsia="Times New Roman" w:hAnsi="Times New Roman" w:cs="Times New Roman"/>
          <w:b/>
          <w:bCs/>
          <w:kern w:val="36"/>
          <w:sz w:val="36"/>
          <w:szCs w:val="24"/>
        </w:rPr>
      </w:pPr>
      <w:r w:rsidRPr="00B14CCC">
        <w:rPr>
          <w:rFonts w:ascii="Times New Roman" w:eastAsia="Times New Roman" w:hAnsi="Times New Roman" w:cs="Times New Roman"/>
          <w:b/>
          <w:bCs/>
          <w:kern w:val="36"/>
          <w:sz w:val="36"/>
          <w:szCs w:val="24"/>
        </w:rPr>
        <w:lastRenderedPageBreak/>
        <w:t>Integrative Medicine Models: Bridging Indigenous Healing Practices and Evidence-Based Western Medicine</w:t>
      </w:r>
    </w:p>
    <w:p w:rsidR="00A82063" w:rsidRDefault="00A82063" w:rsidP="00A82063">
      <w:pPr>
        <w:spacing w:after="240"/>
        <w:jc w:val="center"/>
        <w:rPr>
          <w:rFonts w:ascii="Times New Roman" w:hAnsi="Times New Roman" w:cs="Times New Roman"/>
          <w:i/>
          <w:sz w:val="24"/>
          <w:szCs w:val="24"/>
        </w:rPr>
      </w:pPr>
      <w:proofErr w:type="spellStart"/>
      <w:r w:rsidRPr="00C93CED">
        <w:rPr>
          <w:rFonts w:ascii="Times New Roman" w:hAnsi="Times New Roman" w:cs="Times New Roman"/>
          <w:i/>
          <w:sz w:val="24"/>
          <w:szCs w:val="24"/>
        </w:rPr>
        <w:t>Dr</w:t>
      </w:r>
      <w:proofErr w:type="spellEnd"/>
      <w:r w:rsidRPr="00C93CED">
        <w:rPr>
          <w:rFonts w:ascii="Times New Roman" w:hAnsi="Times New Roman" w:cs="Times New Roman"/>
          <w:i/>
          <w:sz w:val="24"/>
          <w:szCs w:val="24"/>
        </w:rPr>
        <w:t xml:space="preserve"> </w:t>
      </w:r>
      <w:proofErr w:type="spellStart"/>
      <w:r w:rsidRPr="00C93CED">
        <w:rPr>
          <w:rFonts w:ascii="Times New Roman" w:hAnsi="Times New Roman" w:cs="Times New Roman"/>
          <w:i/>
          <w:sz w:val="24"/>
          <w:szCs w:val="24"/>
        </w:rPr>
        <w:t>Bismark</w:t>
      </w:r>
      <w:proofErr w:type="spellEnd"/>
      <w:r w:rsidRPr="00C93CED">
        <w:rPr>
          <w:rFonts w:ascii="Times New Roman" w:hAnsi="Times New Roman" w:cs="Times New Roman"/>
          <w:i/>
          <w:sz w:val="24"/>
          <w:szCs w:val="24"/>
        </w:rPr>
        <w:t xml:space="preserve"> </w:t>
      </w:r>
      <w:proofErr w:type="spellStart"/>
      <w:r w:rsidRPr="00C93CED">
        <w:rPr>
          <w:rFonts w:ascii="Times New Roman" w:hAnsi="Times New Roman" w:cs="Times New Roman"/>
          <w:i/>
          <w:sz w:val="24"/>
          <w:szCs w:val="24"/>
        </w:rPr>
        <w:t>Opeih</w:t>
      </w:r>
      <w:proofErr w:type="spellEnd"/>
      <w:r w:rsidRPr="00C93CED">
        <w:rPr>
          <w:rFonts w:ascii="Times New Roman" w:hAnsi="Times New Roman" w:cs="Times New Roman"/>
          <w:i/>
          <w:sz w:val="24"/>
          <w:szCs w:val="24"/>
        </w:rPr>
        <w:t xml:space="preserve"> – Medical Officer, Church of Christ Hospital, Western Region, Ghana </w:t>
      </w:r>
    </w:p>
    <w:p w:rsidR="00B14CCC" w:rsidRDefault="00B14CCC" w:rsidP="00B14CCC">
      <w:pPr>
        <w:jc w:val="both"/>
        <w:outlineLvl w:val="1"/>
        <w:rPr>
          <w:rFonts w:ascii="Times New Roman" w:eastAsia="Times New Roman" w:hAnsi="Times New Roman" w:cs="Times New Roman"/>
          <w:b/>
          <w:bCs/>
          <w:sz w:val="24"/>
          <w:szCs w:val="24"/>
        </w:rPr>
      </w:pPr>
    </w:p>
    <w:p w:rsidR="003A55A4" w:rsidRPr="00B14CCC" w:rsidRDefault="003A55A4" w:rsidP="00A82063">
      <w:pPr>
        <w:shd w:val="clear" w:color="auto" w:fill="EAF1DD" w:themeFill="accent3" w:themeFillTint="33"/>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Abstract</w:t>
      </w:r>
    </w:p>
    <w:p w:rsidR="003A55A4" w:rsidRPr="00B14CCC" w:rsidRDefault="003A55A4" w:rsidP="00A82063">
      <w:pPr>
        <w:shd w:val="clear" w:color="auto" w:fill="EAF1DD" w:themeFill="accent3" w:themeFillTint="33"/>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integration of indigenous healing practices with evidence-based Western medicine represents a paradigm shift in contemporary healthcare delivery. This research paper examines the theoretical foundations, clinical applications, and evidence base supporting integrative medicine models that synthesize traditional indigenous knowledge systems with modern biomedical approaches. Through a comprehensive analysis of existing literature and clinical data, this study identifies key frameworks for successful integration, explores mechanisms of action underlying traditional healing practices, and evaluates patient outcomes across diverse healthcare settings. The findings suggest that properly implemented integrative models can enhance therapeutic efficacy, improve patient satisfaction, and address healthcare disparities in underserved populations. This paper proposes a systematic framework for bridging these complementary systems while maintaining scientific rigor and cultural sensitivity. The implications extend to policy development, medical education reform, and the establishment of collaborative research methodologies that respect both indigenous wisdom and Western scientific validation processes.</w:t>
      </w:r>
    </w:p>
    <w:p w:rsidR="003A55A4" w:rsidRPr="00B14CCC" w:rsidRDefault="003A55A4" w:rsidP="00A82063">
      <w:pPr>
        <w:shd w:val="clear" w:color="auto" w:fill="EAF1DD" w:themeFill="accent3" w:themeFillTint="33"/>
        <w:jc w:val="both"/>
        <w:rPr>
          <w:rFonts w:ascii="Times New Roman" w:eastAsia="Times New Roman" w:hAnsi="Times New Roman" w:cs="Times New Roman"/>
          <w:sz w:val="24"/>
          <w:szCs w:val="24"/>
        </w:rPr>
      </w:pPr>
      <w:r w:rsidRPr="00B14CCC">
        <w:rPr>
          <w:rFonts w:ascii="Times New Roman" w:eastAsia="Times New Roman" w:hAnsi="Times New Roman" w:cs="Times New Roman"/>
          <w:b/>
          <w:bCs/>
          <w:sz w:val="24"/>
          <w:szCs w:val="24"/>
        </w:rPr>
        <w:t>Keywords:</w:t>
      </w:r>
      <w:r w:rsidRPr="00B14CCC">
        <w:rPr>
          <w:rFonts w:ascii="Times New Roman" w:eastAsia="Times New Roman" w:hAnsi="Times New Roman" w:cs="Times New Roman"/>
          <w:sz w:val="24"/>
          <w:szCs w:val="24"/>
        </w:rPr>
        <w:t xml:space="preserve"> Integrative medicine, indigenous healing practices, traditional medicine, evidence-based medicine, complementary and alternative medicine, healthcare integration</w:t>
      </w:r>
    </w:p>
    <w:p w:rsidR="003A55A4" w:rsidRPr="00B14CCC" w:rsidRDefault="003A55A4"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Introduction</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landscape of global healthcare is experiencing a transformative evolution as healthcare systems increasingly recognize the value of integrating indigenous healing practices with conventional Western medical approaches. This convergence represents more than a simple combination of therapeutic modalities; it embodies a fundamental reconceptualization of health, illness, and healing that acknowledges the limitations of purely biomedical perspectives while respecting the empirical foundations of scientific medicine (Bodeker &amp; Kronenberg, 2002). The World Health Organization estimates that approximately 80% of the global population relies on traditional medicine for primary healthcare needs, underscoring the profound influence and continued relevance of indigenous healing systems in contemporary society (World Health Organization, 2013).</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Integrative medicine, as conceptualized in current healthcare discourse, seeks to combine the technological sophistication and evidence-based rigor of Western biomedicine with the holistic, person-centered approaches characteristic of traditional healing systems. This synthesis acknowledges that indigenous medical practices, refined through millennia of empirical observation and cultural transmission, offer valuable insights into human health </w:t>
      </w:r>
      <w:r w:rsidRPr="00B14CCC">
        <w:rPr>
          <w:rFonts w:ascii="Times New Roman" w:eastAsia="Times New Roman" w:hAnsi="Times New Roman" w:cs="Times New Roman"/>
          <w:sz w:val="24"/>
          <w:szCs w:val="24"/>
        </w:rPr>
        <w:lastRenderedPageBreak/>
        <w:t>that complement rather than contradict modern scientific understanding (Kaptchuk &amp; Miller, 2005). The integration process requires careful navigation of epistemological differences, validation methodologies, and power dynamics that have historically marginalized traditional knowledge systems within mainstream healthcare institutions.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imperative for developing robust integrative medicine models stems from multiple converging factors. First, the limitations of the biomedical model in addressing chronic diseases, mental health conditions, and quality-of-life issues have become increasingly apparent, prompting searches for complementary therapeutic approaches (Engel, 1977). Second, growing patient demand for healthcare options that align with cultural values and address the whole person rather than isolated symptoms has driven institutional interest in integrative approaches. Third, emerging research demonstrating the clinical efficacy of certain traditional practices has provided scientific legitimacy to integration efforts, though significant gaps in the evidence base remain (Wieland et al., 2011).</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purpose of this research paper is to critically examine existing integrative medicine models, analyze the mechanisms through which indigenous and Western medical systems can be effectively bridged, and propose evidence-based frameworks for implementation across diverse healthcare contexts. This investigation addresses fundamental questions regarding the compatibility of different medical epistemologies, the validation of traditional practices using contemporary research methodologies, and the practical challenges of implementing integrative systems within existing healthcare infrastructures. By synthesizing current literature and analyzing case studies from multiple cultural contexts, this paper aims to contribute to the theoretical and practical foundations of integrative medicine while identifying priorities for future research and policy development.</w:t>
      </w:r>
    </w:p>
    <w:p w:rsidR="003A55A4" w:rsidRPr="00B14CCC" w:rsidRDefault="003A55A4"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Theoretical Foundations of Integrative Medicine</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conceptual framework underlying integrative medicine rests on several foundational premises that distinguish it from both conventional Western medicine and simple complementary medicine approaches. At its core, integrative medicine operates from a biopsychosocial-spiritual model of health that recognizes the interconnectedness of physical, mental, emotional, social, and spiritual dimensions of human wellbeing (Sulmasy, 2002). This holistic orientation aligns closely with indigenous medical worldviews that traditionally conceptualize health as a state of harmony or balance among multiple interconnected systems rather than merely the absence of disease.</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theoretical architecture of integrative medicine draws from systems theory, which provides a framework for understanding how complex, interconnected elements within biological and social systems interact to produce health outcomes. This perspective acknowledges that reductionist approaches, while valuable for understanding specific mechanisms, may fail to capture emergent properties and systemic interactions that significantly influence health and healing (Ahn et al., 2006). Indigenous healing systems, which typically emphasize relationships between individuals, communities, and natural </w:t>
      </w:r>
      <w:r w:rsidRPr="00B14CCC">
        <w:rPr>
          <w:rFonts w:ascii="Times New Roman" w:eastAsia="Times New Roman" w:hAnsi="Times New Roman" w:cs="Times New Roman"/>
          <w:sz w:val="24"/>
          <w:szCs w:val="24"/>
        </w:rPr>
        <w:lastRenderedPageBreak/>
        <w:t>environments, inherently operate from systems-oriented perspectives that contemporary integrative medicine seeks to reclaim.</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Epistemological considerations occupy a central position in theoretical discussions of integrative medicine. Western biomedicine operates primarily from an empiricist-rationalist epistemology that privileges knowledge derived from controlled experimentation, quantitative measurement, and mechanistic explanation (Lock &amp; Nguyen, 2010). Indigenous medical systems, conversely, often derive knowledge through experiential learning, intuitive insight, spiritual revelation, and multigenerational transmission of accumulated wisdom. Bridging these epistemological frameworks requires what some scholars term "epistemological pluralism" – the recognition that multiple valid ways of knowing can coexist and contribute complementary insights into health and healing phenomena (Naraindas et al., 2014).</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concept of patient-centeredness provides another theoretical pillar supporting integrative medicine models. Unlike disease-centered approaches that focus primarily on pathology and its elimination, patient-centered care emphasizes individual experiences, preferences, values, and goals within therapeutic relationships (Mead &amp; Bower, 2000). Indigenous healing traditions typically embody patient-centeredness through their emphasis on individualized treatment, therapeutic relationships, and attention to patients' subjective experiences and cultural contexts. The integration of these approaches with Western medicine potentially enhances the humanistic dimensions of care while maintaining scientific rigor in diagnosis and treatment selection.</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Salutogenesis, a theoretical framework developed by Antonovsky (1996), offers additional conceptual support for integrative approaches. Rather than focusing exclusively on disease causation (pathogenesis), salutogenesis investigates the origins of health and factors that support movement toward wellness. This orientation aligns with many indigenous healing philosophies that emphasize health promotion, balance restoration, and strengthening of inherent healing capacities rather than solely targeting disease elimination. Integrative medicine models informed by salutogenic principles seek to activate endogenous healing mechanisms through multiple modalities while addressing specific pathologies when necessary.</w:t>
      </w:r>
    </w:p>
    <w:p w:rsidR="003A55A4"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placebo effect, increasingly understood as a complex psychobiological phenomenon rather than mere methodological artifact, provides important theoretical grounding for integrative approaches. Research demonstrates that contextual factors surrounding therapeutic encounters – including patient expectations, provider-patient relationships, and ritual elements – significantly influence treatment outcomes through neurobiological pathways (Benedetti et al., 2011). Many indigenous healing practices incorporate elaborate contextual and ritual elements that may enhance therapeutic efficacy through these mechanisms, suggesting that integration efforts should preserve rather than eliminate such components.</w:t>
      </w:r>
    </w:p>
    <w:p w:rsidR="00A82063" w:rsidRPr="00B14CCC" w:rsidRDefault="00A82063" w:rsidP="00B14CCC">
      <w:pPr>
        <w:jc w:val="both"/>
        <w:rPr>
          <w:rFonts w:ascii="Times New Roman" w:eastAsia="Times New Roman" w:hAnsi="Times New Roman" w:cs="Times New Roman"/>
          <w:sz w:val="24"/>
          <w:szCs w:val="24"/>
        </w:rPr>
      </w:pPr>
    </w:p>
    <w:p w:rsidR="003A55A4" w:rsidRPr="00B14CCC" w:rsidRDefault="003A55A4"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lastRenderedPageBreak/>
        <w:t>Indigenous Healing Practices: Characteristics and Mechanisms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Indigenous healing systems, despite their tremendous diversity across cultures and geographic regions, share several characteristic features that distinguish them from conventional Western medical approaches. These systems typically conceptualize health and illness within broader cosmological frameworks that situate human wellbeing within networks of relationships extending to family, community, ancestors, natural environments, and spiritual realms (Durie, 2004). Healing interventions consequently address not only individual physiological dysfunction but also relational imbalances and spiritual dimensions of illness experience.</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Traditional healing modalities encompass diverse therapeutic approaches including herbal medicine, dietary interventions, manual therapies, energy-based treatments, ceremonial practices, and counseling or spiritual guidance. The specific practices vary enormously across cultural contexts – ranging from Traditional Chinese Medicine's acupuncture and herbal pharmacopeia to Ayurvedic constitutional medicine to Indigenous American healing ceremonies to African traditional healing practices (World Health Organization, 2013). Despite this diversity, common threads include emphasis on individualized treatment, attention to preventive care, use of natural substances, and integration of physical and psychological-spiritual healing approaches.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mechanisms through which traditional healing practices exert therapeutic effects represent an area of increasing research interest. While some indigenous remedies contain pharmacologically active compounds whose mechanisms align with Western pharmacological understanding, other effects may operate through distinct pathways. Herbal medicines, for instance, often contain multiple active constituents that may produce therapeutic effects through synergistic interactions rather than single-compound mechanisms characteristic of pharmaceutical drugs (Wagner &amp; Ulrich-Merzenich, 2009). This complexity poses challenges for standard reductionist research approaches but may also offer therapeutic advantages through multi-targeted effects.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Mind-body practices central to many indigenous healing systems, including meditation, breathing exercises, movement therapies, and ceremonial activities, demonstrate measurable physiological effects through neuroendocrine, immune, and autonomic nervous system pathways. Research documents that such practices can modulate stress responses, influence inflammatory processes, enhance parasympathetic nervous system activity, and alter brain structure and function (Pascoe et al., 2017). These findings provide mechanistic plausibility for the therapeutic benefits reported in traditional healing contexts and suggest potential synergies with biomedical interventions.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therapeutic relationship, emphasized across indigenous healing traditions, itself constitutes a mechanism of healing effect. Research in placebo studies and psychotherapy demonstrates that provider-patient relationship quality significantly influences treatment outcomes across diverse medical conditions (Kelley et al., 2014). Traditional healers typically invest substantial time in developing therapeutic relationships, understanding patients' life </w:t>
      </w:r>
      <w:r w:rsidRPr="00B14CCC">
        <w:rPr>
          <w:rFonts w:ascii="Times New Roman" w:eastAsia="Times New Roman" w:hAnsi="Times New Roman" w:cs="Times New Roman"/>
          <w:sz w:val="24"/>
          <w:szCs w:val="24"/>
        </w:rPr>
        <w:lastRenderedPageBreak/>
        <w:t>contexts, and creating healing environments characterized by empathy, presence, and cultural resonance. These relational dimensions may enhance treatment adherence, activate endogenous healing mechanisms, and improve health outcomes beyond specific treatment modalities employed.</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Cultural concepts of illness and healing embedded within indigenous medical systems influence illness experience, symptom expression, help-seeking behavior, and treatment response through complex psychosocial pathways. Medical anthropologists document that cultural frameworks shape the subjective experience of symptoms, the meanings attributed to illness, and expectations regarding healing processes (Kleinman, 1980). Indigenous healing practices that align with patients' cultural understandings may enhance therapeutic efficacy through mechanisms including improved patient comprehension, reduced treatment anxiety, enhanced expectancy effects, and better integration of healing experiences into patients' life narratives.</w:t>
      </w:r>
    </w:p>
    <w:p w:rsidR="003A55A4" w:rsidRPr="00B14CCC" w:rsidRDefault="003A55A4"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Evidence-Based Western Medicine: Strengths and Limitations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Evidence-based medicine (EBM), which emerged in the 1990s as the dominant paradigm for Western clinical practice, represents a systematic approach to medical decision-making that emphasizes the integration of best available research evidence with clinical expertise and patient values (Sackett et al., 1996). This framework has generated substantial advances in medical care through rigorous evaluation of treatment efficacy, identification of harmful practices, standardization of effective interventions, and reduction of arbitrary variation in clinical practice. The evidence hierarchy central to EBM, which privileges randomized controlled trials and systematic reviews, has established methodological standards that have advanced therapeutic precision and patient safety.</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technological and diagnostic capabilities of contemporary Western medicine constitute major strengths that have dramatically reduced mortality from acute conditions, infectious diseases, traumatic injuries, and numerous previously fatal illnesses. Advanced imaging technologies, laboratory diagnostics, surgical techniques, pharmacological interventions, and intensive care capabilities enable interventions impossible within traditional healing systems. The systematic accumulation of knowledge through controlled research, the mechanistic understanding of disease processes at molecular levels, and the development of targeted therapies represent achievements that have fundamentally transformed human health prospects across populations.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Despite these considerable strengths, Western biomedicine faces significant limitations that have motivated interest in integrative approaches. The biomedical model's emphasis on disease mechanisms and pathology has sometimes eclipsed attention to health promotion, wellness maintenance, and factors supporting healing beyond specific interventions (Engel, 1977). The reductionist tendency to focus on isolated biological mechanisms may miss important systemic, psychological, and social determinants of health that influence disease development and recovery. Critics argue that excessive specialization and fragmentation </w:t>
      </w:r>
      <w:r w:rsidRPr="00B14CCC">
        <w:rPr>
          <w:rFonts w:ascii="Times New Roman" w:eastAsia="Times New Roman" w:hAnsi="Times New Roman" w:cs="Times New Roman"/>
          <w:sz w:val="24"/>
          <w:szCs w:val="24"/>
        </w:rPr>
        <w:lastRenderedPageBreak/>
        <w:t>within modern medicine can result in care that addresses body parts or disease categories while losing sight of whole persons and their life contexts.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limitations of conventional approaches become particularly apparent in managing chronic diseases, functional disorders, and conditions lacking clear biomarker correlates. Research indicates that approximately 60% of primary care visits involve symptoms or conditions for which biomedicine offers limited effective treatments (Kroenke &amp; Mangelsdorff, 1989). Patients with chronic pain, fatigue syndromes, functional gastrointestinal disorders, and various mental health conditions often find conventional treatments inadequate, prompting searches for alternative or complementary approaches. The biomedical focus on disease elimination sometimes neglects patient-centered goals such as quality of life, functional capacity, and subjective wellbeing that may remain achievable even when cure proves impossible.</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evidence-based medicine paradigm itself faces critiques regarding its limitations in capturing the full scope of healing phenomena. The randomized controlled trial methodology, while powerful for evaluating specific interventions, may inadequately assess complex multi-component treatments, individualized therapeutic approaches, or healing modalities whose effects depend heavily on contextual factors (Kaptchuk, 2001). The emphasis on average treatment effects across populations may obscure clinically significant benefits for specific patient subgroups, and the focus on measurable outcomes may undervalue subjective experiences and quality-of-life dimensions important to patients.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Healthcare disparities and cultural competence limitations within Western medical systems constitute additional challenges that integrative approaches might address. Conventional medical institutions often fail to adequately serve diverse populations whose health beliefs, communication styles, and healthcare expectations differ from dominant cultural norms (Betancourt et al., 2003). The historical marginalization of traditional healing practices and the dismissal of indigenous medical knowledge within colonial contexts have created mistrust and barriers to care access for many populations. Integrative models that respectfully incorporate traditional practices may enhance cultural acceptability and effectiveness of healthcare for underserved communities.</w:t>
      </w:r>
    </w:p>
    <w:p w:rsidR="003A55A4" w:rsidRPr="00B14CCC" w:rsidRDefault="003A55A4"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Models of Integration: Conceptual Frameworks and Implementation Approaches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Several distinct models for integrating indigenous healing practices with Western medicine have emerged across different healthcare contexts, each reflecting particular philosophical orientations, practical constraints, and cultural circumstances. Understanding these varied approaches provides essential context for evaluating integration strategies and identifying optimal frameworks for specific settings. The models differ in the degree of integration achieved, the power dynamics between medical systems, the theoretical basis for combination, and the practical mechanisms through which different healing modalities interact.</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parallel practice model represents the most basic form of integration, wherein traditional and Western medical services operate independently within the same healthcare setting or </w:t>
      </w:r>
      <w:r w:rsidRPr="00B14CCC">
        <w:rPr>
          <w:rFonts w:ascii="Times New Roman" w:eastAsia="Times New Roman" w:hAnsi="Times New Roman" w:cs="Times New Roman"/>
          <w:sz w:val="24"/>
          <w:szCs w:val="24"/>
        </w:rPr>
        <w:lastRenderedPageBreak/>
        <w:t>geographic area. Patients may access both systems, but practitioners work separately with minimal communication or coordination. This model, common in many pluralistic healthcare contexts, allows patient choice and cultural accessibility while avoiding the complexities of deeper integration (Hollenberg &amp; Muzzin, 2010). However, the lack of coordination may result in contradictory treatments, duplication of services, missed opportunities for synergy, and inadequate monitoring of potential interactions between different therapeutic modalities.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consultative integration model establishes more substantial connections by incorporating consultation mechanisms between Western medical practitioners and traditional healers. Biomedical providers may refer patients to traditional healers for specific conditions or supportive care, while traditional practitioners may refer patients requiring Western medical interventions. Some implementations include formal communication protocols, shared patient records, or collaborative treatment planning (Mills et al., 2006). This approach maintains the distinct identities of different medical systems while enabling coordinated care and mutual recognition of complementary expertise.</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Integrative practice models involve more extensive synthesis, wherein individual practitioners or healthcare teams deliberately combine therapeutic modalities from different traditions within unified treatment plans. This approach requires practitioners with training in multiple medical systems or close collaboration among diverse healthcare providers. Integrative clinics or centers often employ both conventionally trained physicians and licensed traditional medicine practitioners who work collaboratively to design comprehensive treatment strategies addressing multiple dimensions of patient health (Maizes et al., 2009). The integration extends beyond mere coexistence to intentional coordination aimed at synergistic therapeutic effects.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embedded integration model fully incorporates elements of traditional healing into conventional healthcare institutions through institutional policies, clinical protocols, and healthcare provider training. Rather than maintaining traditional practices as separate services, this approach integrates selected traditional modalities into standard care pathways. Examples include hospitals offering acupuncture for postoperative pain management, medical schools teaching mind-body medicine techniques, or primary care clinics incorporating herbal medicine consultations within usual care (Kligler et al., 2004). This model requires substantial institutional commitment and often selective adoption of traditional practices deemed most compatible with biomedical frameworks.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Patient-centered integration frameworks emphasize individual patient preferences, values, and cultural backgrounds in determining appropriate combinations of traditional and Western medical approaches. Rather than prescribing standardized integration models, this approach respects patient autonomy in navigating different healing systems and seeks to support informed decision-making through comprehensive information about available options, potential benefits, risks, and interactions (Bell et al., 2002). Healthcare providers serve as guides and collaborators rather than authorities determining appropriate healing pathways, acknowledging patients' expertise regarding their own cultural contexts and healing needs.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Community-based integration models situate healthcare integration within specific cultural communities, often in partnership with indigenous populations. These approaches recognize that effective integration requires deep understanding of local healing traditions, community health priorities, and cultural contexts. Implementation often involves community participation in program design, employment of community health workers or cultural liaisons, incorporation of traditional healing spaces within healthcare facilities, and adaptation of services to local cultural norms (King et al., 2009). This model particularly addresses healthcare needs of indigenous and culturally distinct populations who may face barriers accessing conventional healthcare systems.</w:t>
      </w:r>
    </w:p>
    <w:p w:rsidR="003A55A4" w:rsidRPr="00B14CCC" w:rsidRDefault="003A55A4"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Evidence Base for Integrated Approaches: Clinical Outcomes and Effectiveness Research</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evidence base supporting integrative medicine approaches has expanded substantially over recent decades, though significant gaps and methodological challenges persist. Research examining the clinical effectiveness of integrated models encompasses diverse study designs, populations, conditions, and outcome measures, yielding a complex body of evidence that both supports integration benefits and highlights needs for more rigorous investigation. Understanding this evidence base requires critical evaluation of research quality, consideration of methodological limitations specific to integrative medicine research, and recognition of the challenges inherent in studying complex, multicomponent interventions.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Systematic reviews and meta-analyses of specific traditional medicine modalities integrated with conventional care provide some of the strongest evidence for integrative approaches. Research on acupuncture integration for pain management, for instance, demonstrates that combining acupuncture with standard care improves outcomes for chronic pain conditions including low back pain, osteoarthritis, and headaches compared with conventional treatment alone (Vickers et al., 2012). These findings have influenced clinical practice guidelines and insurance coverage policies in multiple countries, representing successful integration of a traditional practice into evidence-based Western medicine protocols.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Studies examining herbal medicine integration reveal more mixed results, reflecting both the therapeutic potential and the complexity of evaluating traditional pharmacological approaches. Certain herbal preparations demonstrate efficacy comparable to pharmaceutical drugs for specific conditions – St. John's wort for mild to moderate depression, ginkgo biloba for cognitive symptoms, and various Chinese herbal formulas for particular syndromes – though effect sizes and consistency vary across studies (Sarris et al., 2011). However, concerns regarding quality control, standardization, potential herb-drug interactions, and adverse effects necessitate careful integration protocols including provider education, patient monitoring, and quality assurance mechanisms.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Mind-body practices central </w:t>
      </w:r>
      <w:proofErr w:type="gramStart"/>
      <w:r w:rsidRPr="00B14CCC">
        <w:rPr>
          <w:rFonts w:ascii="Times New Roman" w:eastAsia="Times New Roman" w:hAnsi="Times New Roman" w:cs="Times New Roman"/>
          <w:sz w:val="24"/>
          <w:szCs w:val="24"/>
        </w:rPr>
        <w:t>to</w:t>
      </w:r>
      <w:proofErr w:type="gramEnd"/>
      <w:r w:rsidRPr="00B14CCC">
        <w:rPr>
          <w:rFonts w:ascii="Times New Roman" w:eastAsia="Times New Roman" w:hAnsi="Times New Roman" w:cs="Times New Roman"/>
          <w:sz w:val="24"/>
          <w:szCs w:val="24"/>
        </w:rPr>
        <w:t xml:space="preserve"> many traditional healing systems demonstrate robust evidence for health benefits across diverse conditions. Systematic reviews document effectiveness of meditation, yoga, tai chi, and qigong for outcomes including stress reduction, anxiety and depression symptoms, pain management, cardiovascular health, and immune function </w:t>
      </w:r>
      <w:r w:rsidRPr="00B14CCC">
        <w:rPr>
          <w:rFonts w:ascii="Times New Roman" w:eastAsia="Times New Roman" w:hAnsi="Times New Roman" w:cs="Times New Roman"/>
          <w:sz w:val="24"/>
          <w:szCs w:val="24"/>
        </w:rPr>
        <w:lastRenderedPageBreak/>
        <w:t>(Pascoe et al., 2017). The integration of such practices into conventional healthcare settings for both treatment and prevention shows promise for enhancing patient outcomes while potentially reducing healthcare costs through decreased medication use and reduced healthcare utilization.</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Research on comprehensive integrative medicine programs that combine multiple traditional modalities with conventional care provides preliminary evidence for synergistic benefits exceeding effects of individual interventions. Studies of integrative medicine centers treating chronic pain, cancer-related symptoms, cardiovascular disease, and other conditions report improvements in pain, function, quality of life, and patient satisfaction (Dusek et al., 2008). However, the multicomponent nature of these interventions creates methodological challenges for isolating mechanisms of effect and determining optimal combinations of therapeutic approaches.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Patient-centered outcomes research in integrative medicine settings consistently demonstrates high patient satisfaction, with patients reporting greater perceived quality of care, therapeutic alliance, and attention to whole-person needs compared with conventional care alone (Baer, 2003). While satisfaction does not directly equate to clinical effectiveness, research links patient satisfaction with improved treatment adherence, better self-management, and enhanced health outcomes. The emphasis on therapeutic relationships, individualized care, and patient empowerment characteristic of many integrative models may contribute to these positive patient experiences.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Evidence regarding cost-effectiveness of integrative medicine approaches remains limited but suggests potential for healthcare savings through reduced medication use, decreased need for costly interventions, and prevention of disease progression. Studies of integrative programs for chronic conditions report reduced emergency department visits, hospitalizations, and specialty care utilization among participants (Herman et al., 2012). However, more rigorous economic evaluations accounting for all relevant costs and benefits across appropriate time horizons are needed to fully assess the economic value of different integration models.</w:t>
      </w:r>
    </w:p>
    <w:p w:rsidR="003A55A4" w:rsidRPr="00B14CCC" w:rsidRDefault="003A55A4"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Table 1: Clinical Evidence for Selected Integrated Approaches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9"/>
        <w:gridCol w:w="1955"/>
        <w:gridCol w:w="1411"/>
        <w:gridCol w:w="2570"/>
        <w:gridCol w:w="1302"/>
      </w:tblGrid>
      <w:tr w:rsidR="003A55A4" w:rsidRPr="00B14CCC" w:rsidTr="003A55A4">
        <w:trPr>
          <w:tblHeader/>
          <w:tblCellSpacing w:w="15" w:type="dxa"/>
        </w:trPr>
        <w:tc>
          <w:tcPr>
            <w:tcW w:w="0" w:type="auto"/>
            <w:vAlign w:val="center"/>
            <w:hideMark/>
          </w:tcPr>
          <w:p w:rsidR="003A55A4" w:rsidRPr="00B14CCC" w:rsidRDefault="003A55A4" w:rsidP="00B14CCC">
            <w:pPr>
              <w:jc w:val="both"/>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Therapeutic Modality</w:t>
            </w:r>
          </w:p>
        </w:tc>
        <w:tc>
          <w:tcPr>
            <w:tcW w:w="0" w:type="auto"/>
            <w:vAlign w:val="center"/>
            <w:hideMark/>
          </w:tcPr>
          <w:p w:rsidR="003A55A4" w:rsidRPr="00B14CCC" w:rsidRDefault="003A55A4" w:rsidP="00B14CCC">
            <w:pPr>
              <w:jc w:val="both"/>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Conditions Studied</w:t>
            </w:r>
          </w:p>
        </w:tc>
        <w:tc>
          <w:tcPr>
            <w:tcW w:w="0" w:type="auto"/>
            <w:vAlign w:val="center"/>
            <w:hideMark/>
          </w:tcPr>
          <w:p w:rsidR="003A55A4" w:rsidRPr="00B14CCC" w:rsidRDefault="003A55A4" w:rsidP="00B14CCC">
            <w:pPr>
              <w:jc w:val="both"/>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Evidence Level</w:t>
            </w:r>
          </w:p>
        </w:tc>
        <w:tc>
          <w:tcPr>
            <w:tcW w:w="0" w:type="auto"/>
            <w:vAlign w:val="center"/>
            <w:hideMark/>
          </w:tcPr>
          <w:p w:rsidR="003A55A4" w:rsidRPr="00B14CCC" w:rsidRDefault="003A55A4" w:rsidP="00B14CCC">
            <w:pPr>
              <w:jc w:val="both"/>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Key Findings</w:t>
            </w:r>
          </w:p>
        </w:tc>
        <w:tc>
          <w:tcPr>
            <w:tcW w:w="0" w:type="auto"/>
            <w:vAlign w:val="center"/>
            <w:hideMark/>
          </w:tcPr>
          <w:p w:rsidR="003A55A4" w:rsidRPr="00B14CCC" w:rsidRDefault="003A55A4" w:rsidP="00B14CCC">
            <w:pPr>
              <w:jc w:val="both"/>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References</w:t>
            </w:r>
          </w:p>
        </w:tc>
      </w:tr>
      <w:tr w:rsidR="003A55A4" w:rsidRPr="00B14CCC" w:rsidTr="003A55A4">
        <w:trPr>
          <w:tblCellSpacing w:w="15" w:type="dxa"/>
        </w:trPr>
        <w:tc>
          <w:tcPr>
            <w:tcW w:w="0" w:type="auto"/>
            <w:vAlign w:val="center"/>
            <w:hideMark/>
          </w:tcPr>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Acupuncture Integration</w:t>
            </w:r>
          </w:p>
        </w:tc>
        <w:tc>
          <w:tcPr>
            <w:tcW w:w="0" w:type="auto"/>
            <w:vAlign w:val="center"/>
            <w:hideMark/>
          </w:tcPr>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Chronic pain, nausea, headaches</w:t>
            </w:r>
          </w:p>
        </w:tc>
        <w:tc>
          <w:tcPr>
            <w:tcW w:w="0" w:type="auto"/>
            <w:vAlign w:val="center"/>
            <w:hideMark/>
          </w:tcPr>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High (multiple systematic reviews)</w:t>
            </w:r>
          </w:p>
        </w:tc>
        <w:tc>
          <w:tcPr>
            <w:tcW w:w="0" w:type="auto"/>
            <w:vAlign w:val="center"/>
            <w:hideMark/>
          </w:tcPr>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Significant improvement over standard care; effect sizes modest but clinically meaningful</w:t>
            </w:r>
          </w:p>
        </w:tc>
        <w:tc>
          <w:tcPr>
            <w:tcW w:w="0" w:type="auto"/>
            <w:vAlign w:val="center"/>
            <w:hideMark/>
          </w:tcPr>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Vickers et al., 2012</w:t>
            </w:r>
          </w:p>
        </w:tc>
      </w:tr>
      <w:tr w:rsidR="003A55A4" w:rsidRPr="00B14CCC" w:rsidTr="003A55A4">
        <w:trPr>
          <w:tblCellSpacing w:w="15" w:type="dxa"/>
        </w:trPr>
        <w:tc>
          <w:tcPr>
            <w:tcW w:w="0" w:type="auto"/>
            <w:vAlign w:val="center"/>
            <w:hideMark/>
          </w:tcPr>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Herbal Medicine</w:t>
            </w:r>
          </w:p>
        </w:tc>
        <w:tc>
          <w:tcPr>
            <w:tcW w:w="0" w:type="auto"/>
            <w:vAlign w:val="center"/>
            <w:hideMark/>
          </w:tcPr>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Depression, cognitive function, various conditions</w:t>
            </w:r>
          </w:p>
        </w:tc>
        <w:tc>
          <w:tcPr>
            <w:tcW w:w="0" w:type="auto"/>
            <w:vAlign w:val="center"/>
            <w:hideMark/>
          </w:tcPr>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Moderate (variable quality)</w:t>
            </w:r>
          </w:p>
        </w:tc>
        <w:tc>
          <w:tcPr>
            <w:tcW w:w="0" w:type="auto"/>
            <w:vAlign w:val="center"/>
            <w:hideMark/>
          </w:tcPr>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Selected herbs show efficacy; concerns about standardization and interactions</w:t>
            </w:r>
          </w:p>
        </w:tc>
        <w:tc>
          <w:tcPr>
            <w:tcW w:w="0" w:type="auto"/>
            <w:vAlign w:val="center"/>
            <w:hideMark/>
          </w:tcPr>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Sarris et al., 2011</w:t>
            </w:r>
          </w:p>
        </w:tc>
      </w:tr>
      <w:tr w:rsidR="003A55A4" w:rsidRPr="00B14CCC" w:rsidTr="003A55A4">
        <w:trPr>
          <w:tblCellSpacing w:w="15" w:type="dxa"/>
        </w:trPr>
        <w:tc>
          <w:tcPr>
            <w:tcW w:w="0" w:type="auto"/>
            <w:vAlign w:val="center"/>
            <w:hideMark/>
          </w:tcPr>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Mind-Body Practices</w:t>
            </w:r>
          </w:p>
        </w:tc>
        <w:tc>
          <w:tcPr>
            <w:tcW w:w="0" w:type="auto"/>
            <w:vAlign w:val="center"/>
            <w:hideMark/>
          </w:tcPr>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Stress, anxiety, chronic pain, cardiovascular health</w:t>
            </w:r>
          </w:p>
        </w:tc>
        <w:tc>
          <w:tcPr>
            <w:tcW w:w="0" w:type="auto"/>
            <w:vAlign w:val="center"/>
            <w:hideMark/>
          </w:tcPr>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Moderate to High</w:t>
            </w:r>
          </w:p>
        </w:tc>
        <w:tc>
          <w:tcPr>
            <w:tcW w:w="0" w:type="auto"/>
            <w:vAlign w:val="center"/>
            <w:hideMark/>
          </w:tcPr>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Consistent benefits across multiple outcomes; low adverse event risk</w:t>
            </w:r>
          </w:p>
        </w:tc>
        <w:tc>
          <w:tcPr>
            <w:tcW w:w="0" w:type="auto"/>
            <w:vAlign w:val="center"/>
            <w:hideMark/>
          </w:tcPr>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Pascoe et al., 2017</w:t>
            </w:r>
          </w:p>
        </w:tc>
      </w:tr>
      <w:tr w:rsidR="003A55A4" w:rsidRPr="00B14CCC" w:rsidTr="003A55A4">
        <w:trPr>
          <w:tblCellSpacing w:w="15" w:type="dxa"/>
        </w:trPr>
        <w:tc>
          <w:tcPr>
            <w:tcW w:w="0" w:type="auto"/>
            <w:vAlign w:val="center"/>
            <w:hideMark/>
          </w:tcPr>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Comprehensive Integrative Programs</w:t>
            </w:r>
          </w:p>
        </w:tc>
        <w:tc>
          <w:tcPr>
            <w:tcW w:w="0" w:type="auto"/>
            <w:vAlign w:val="center"/>
            <w:hideMark/>
          </w:tcPr>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Chronic conditions, cancer support</w:t>
            </w:r>
          </w:p>
        </w:tc>
        <w:tc>
          <w:tcPr>
            <w:tcW w:w="0" w:type="auto"/>
            <w:vAlign w:val="center"/>
            <w:hideMark/>
          </w:tcPr>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Moderate (limited RCTs)</w:t>
            </w:r>
          </w:p>
        </w:tc>
        <w:tc>
          <w:tcPr>
            <w:tcW w:w="0" w:type="auto"/>
            <w:vAlign w:val="center"/>
            <w:hideMark/>
          </w:tcPr>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Improved quality of life and satisfaction; clinical benefits require more study</w:t>
            </w:r>
          </w:p>
        </w:tc>
        <w:tc>
          <w:tcPr>
            <w:tcW w:w="0" w:type="auto"/>
            <w:vAlign w:val="center"/>
            <w:hideMark/>
          </w:tcPr>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Dusek et al., 2008</w:t>
            </w:r>
          </w:p>
        </w:tc>
      </w:tr>
      <w:tr w:rsidR="003A55A4" w:rsidRPr="00B14CCC" w:rsidTr="003A55A4">
        <w:trPr>
          <w:tblCellSpacing w:w="15" w:type="dxa"/>
        </w:trPr>
        <w:tc>
          <w:tcPr>
            <w:tcW w:w="0" w:type="auto"/>
            <w:vAlign w:val="center"/>
            <w:hideMark/>
          </w:tcPr>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Traditional Chinese Medicine</w:t>
            </w:r>
          </w:p>
        </w:tc>
        <w:tc>
          <w:tcPr>
            <w:tcW w:w="0" w:type="auto"/>
            <w:vAlign w:val="center"/>
            <w:hideMark/>
          </w:tcPr>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Various chronic conditions</w:t>
            </w:r>
          </w:p>
        </w:tc>
        <w:tc>
          <w:tcPr>
            <w:tcW w:w="0" w:type="auto"/>
            <w:vAlign w:val="center"/>
            <w:hideMark/>
          </w:tcPr>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Moderate (growing evidence base)</w:t>
            </w:r>
          </w:p>
        </w:tc>
        <w:tc>
          <w:tcPr>
            <w:tcW w:w="0" w:type="auto"/>
            <w:vAlign w:val="center"/>
            <w:hideMark/>
          </w:tcPr>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Promising results for specific syndromes; methodological challenges in evaluation</w:t>
            </w:r>
          </w:p>
        </w:tc>
        <w:tc>
          <w:tcPr>
            <w:tcW w:w="0" w:type="auto"/>
            <w:vAlign w:val="center"/>
            <w:hideMark/>
          </w:tcPr>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Liu et al., 2013</w:t>
            </w:r>
          </w:p>
        </w:tc>
      </w:tr>
    </w:tbl>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i/>
          <w:iCs/>
          <w:sz w:val="24"/>
          <w:szCs w:val="24"/>
        </w:rPr>
        <w:t>Note: Evidence levels based on quality and quantity of available research including systematic reviews, randomized controlled trials, and observational studies.</w:t>
      </w:r>
    </w:p>
    <w:p w:rsidR="003A55A4" w:rsidRPr="00B14CCC" w:rsidRDefault="003A55A4"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Methodological Challenges in Integrative Medicine Research</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Conducting rigorous research on integrative medicine approaches presents unique methodological challenges that extend beyond those encountered in conventional pharmaceutical or medical device studies. These challenges stem from the philosophical differences between medical systems, the complexity of multicomponent interventions, the importance of individualization in traditional practices, and the difficulty of isolating specific treatment effects within holistic healing contexts. Addressing these methodological issues requires innovative research designs that maintain scientific rigor while respecting the essential characteristics of traditional healing practices (Verhoef et al., 2005).</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randomized controlled trial methodology, considered the gold standard for evaluating treatment efficacy in conventional medicine, faces particular challenges when applied to integrative approaches. Many traditional healing modalities involve highly individualized treatments tailored to each patient's unique presentation, making standardization across research participants problematic. Placebo controls prove difficult to design for procedures like acupuncture, manual therapies, or healing rituals, and the blinding of practitioners or patients to treatment allocation often proves impossible. The emphasis on therapeutic relationships and contextual healing factors in traditional practices means that isolating specific treatment effects from relationship and expectancy effects may not align with how these modalities actually function (Kaptchuk, 2001).</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Outcome measurement in integrative medicine research requires careful consideration of which endpoints best capture treatment effects. Traditional healing systems often emphasize outcomes such as balance, harmony, energy flow, or spiritual wellbeing that lack validated </w:t>
      </w:r>
      <w:r w:rsidRPr="00B14CCC">
        <w:rPr>
          <w:rFonts w:ascii="Times New Roman" w:eastAsia="Times New Roman" w:hAnsi="Times New Roman" w:cs="Times New Roman"/>
          <w:sz w:val="24"/>
          <w:szCs w:val="24"/>
        </w:rPr>
        <w:lastRenderedPageBreak/>
        <w:t>measurement instruments within Western research frameworks. While research necessarily employs standardized outcome measures for scientific credibility, exclusive reliance on conventional biomedical endpoints may miss important benefits valued within traditional healing contexts. Developing outcome measures that honor both scientific rigor and cultural validity represents an ongoing challenge requiring collaboration between researchers and traditional medicine experts (Cassidy, 2002).</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Research on multicomponent integrative interventions faces the challenge of determining which specific elements contribute to observed effects and identifying optimal combinations of therapeutic approaches. While pragmatic trials comparing comprehensive integrative programs with usual care can establish overall effectiveness, they provide limited insight into mechanisms of action or relative contributions of different treatment components. Component analysis studies attempting to isolate individual elements risk losing synergistic effects that may be central to integration benefits. Research designs must balance mechanistic understanding with ecological validity that preserves how treatments actually function in clinical practice.</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temporal dimensions of healing in traditional systems often extend beyond typical research timeframes, with treatments aimed at long-term balance restoration rather than immediate symptom elimination. Research study durations must be sufficient to capture meaningful changes in health trajectories, while balancing practical constraints of research funding and participant retention. Additionally, the preventive orientation of many traditional practices means that research should ideally assess not only symptom improvement but also long-term health maintenance and disease prevention, requiring costly longitudinal study designs.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Cultural competence and community engagement represent essential but often neglected dimensions of integrative medicine research. Studies conducted without meaningful involvement of traditional medicine practitioners and cultural communities risk misrepresenting traditional practices, overlooking important cultural contexts, and generating findings lacking relevance for actual clinical implementation. Participatory research approaches that engage communities as partners in research design, implementation, and interpretation can enhance cultural validity and practical applicability, though such approaches require time, relationship-building, and willingness to share research control (Buchwald et al., 2006).</w:t>
      </w:r>
    </w:p>
    <w:p w:rsidR="003A55A4" w:rsidRPr="00B14CCC" w:rsidRDefault="003A55A4"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Implementation Frameworks: From Theory to Practice</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Translating integrative medicine concepts into functional healthcare delivery systems requires systematic implementation frameworks that address institutional barriers, regulatory issues, professional training needs, and practical logistics of coordinating different healing traditions. Successful implementation depends on carefully designed processes that maintain therapeutic integrity of both Western and traditional approaches while ensuring patient safety, quality of care, and regulatory compliance. Drawing from implementation science and </w:t>
      </w:r>
      <w:r w:rsidRPr="00B14CCC">
        <w:rPr>
          <w:rFonts w:ascii="Times New Roman" w:eastAsia="Times New Roman" w:hAnsi="Times New Roman" w:cs="Times New Roman"/>
          <w:sz w:val="24"/>
          <w:szCs w:val="24"/>
        </w:rPr>
        <w:lastRenderedPageBreak/>
        <w:t>organizational change literature, several key domains emerge as critical to effective integrative medicine program development (Goldstein et al., 2005).</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Institutional commitment and leadership support represent foundational requirements for successful integration initiatives. Implementation requires allocation of resources, policy development, infrastructure modification, and cultural change within healthcare organizations, all of which depend on leadership championing integration goals. Effective leaders articulate clear visions for integration that align with organizational missions, secure necessary funding and resources, address stakeholder concerns, and model values of openness and collaboration across healing traditions. The involvement of clinical champions who advocate for integration within their professional spheres amplifies leadership efforts and facilitates grassroots support (Kligler et al., 2004).</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Credentialing and privileging processes for traditional medicine practitioners within Western healthcare institutions require careful development to ensure practitioner competence while respecting different training models. Conventional credentialing systems designed for biomedically trained professionals may not appropriately evaluate traditional medicine practitioners whose expertise derives from apprenticeship, cultural transmission, or non-Western educational systems. Developing culturally appropriate credentialing criteria involves collaboration with traditional medicine organizations, consideration of various pathways to competence, and establishment of quality assurance mechanisms that honor different knowledge systems (Hollenberg, 2006).</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Interprofessional collaboration mechanisms constitute essential infrastructure for integrated care delivery. Effective collaboration requires regular communication channels, shared electronic health records or coordinated documentation systems, established referral protocols, and opportunities for collaborative treatment planning. Team-based care models that include both Western and traditional medicine practitioners working together on patient care necessitate role clarity, mutual respect, understanding of each discipline's scope of practice, and conflict resolution processes. Educational interventions promoting cross-cultural understanding and collaborative competencies support effective teamwork across healing traditions (Wahner-Roedler et al., 2006).</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Patient safety considerations take on added complexity in integrative settings where multiple therapeutic modalities may interact in unforeseen ways. Comprehensive safety frameworks address potential herb-drug interactions, contradictions between different treatment approaches, risks of delayed diagnosis when patients favor traditional over Western medical care for serious conditions, and mechanisms for monitoring adverse events associated with traditional practices. Safety protocols require traditional medicine practitioners and conventional providers to share information about treatments, maintain vigilance for potential problems, and collaborate on patient monitoring. Patient education regarding safe integration of different healing approaches also represents an important safety strategy (Gardiner et al., 2007).</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Financing and reimbursement models significantly influence integrative program sustainability and accessibility. Many traditional medicine services remain excluded from health insurance coverage, creating financial barriers for patients and limiting program viability. Advocacy for insurance coverage of evidence-supported traditional modalities, development of value-based payment models that reward improved outcomes rather than specific procedures, and exploration of diverse financing mechanisms can enhance program sustainability. Documentation requirements for reimbursement often necessitate translation of traditional medicine concepts into billing codes and medical terminology, raising concerns about cultural authenticity but proving necessary for financial viability.</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Quality improvement processes ensure that integrated programs deliver high-quality care and continuously enhance effectiveness. Quality metrics should assess both conventional medical outcomes and outcomes valued within traditional healing frameworks, including patient satisfaction, cultural acceptability, and holistic wellbeing indicators. Regular program evaluation, patient feedback mechanisms, provider training and support, and systematic review of clinical outcomes enable ongoing program refinement. Engaging patients and community members in quality improvement efforts ensures that programs remain responsive to community needs and culturally appropriate (Goldstein et al., 2005).</w:t>
      </w:r>
    </w:p>
    <w:p w:rsidR="003A55A4" w:rsidRPr="00B14CCC" w:rsidRDefault="003A55A4"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 xml:space="preserve">Case Studies: Successful Integration Models </w:t>
      </w:r>
      <w:proofErr w:type="gramStart"/>
      <w:r w:rsidRPr="00B14CCC">
        <w:rPr>
          <w:rFonts w:ascii="Times New Roman" w:eastAsia="Times New Roman" w:hAnsi="Times New Roman" w:cs="Times New Roman"/>
          <w:b/>
          <w:bCs/>
          <w:sz w:val="24"/>
          <w:szCs w:val="24"/>
        </w:rPr>
        <w:t>Across</w:t>
      </w:r>
      <w:proofErr w:type="gramEnd"/>
      <w:r w:rsidRPr="00B14CCC">
        <w:rPr>
          <w:rFonts w:ascii="Times New Roman" w:eastAsia="Times New Roman" w:hAnsi="Times New Roman" w:cs="Times New Roman"/>
          <w:b/>
          <w:bCs/>
          <w:sz w:val="24"/>
          <w:szCs w:val="24"/>
        </w:rPr>
        <w:t xml:space="preserve"> Contexts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Examining specific examples of successful integrative medicine programs provides concrete illustrations of how theoretical frameworks translate into functional healthcare systems and offers practical lessons for implementation in diverse contexts. The following case studies represent different geographic regions, cultural contexts, healthcare systems, and approaches to integration, demonstrating the adaptability of integrative principles across varied circumstances.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Traditional Chinese Medicine integration in China represents perhaps the most extensive national-level integration effort, with traditional Chinese medicine (TCM) formally incorporated into the national healthcare system alongside Western medicine. Chinese hospitals often include TCM departments staffed by licensed TCM practitioners, and many physicians receive training in both medical systems. Research institutions conduct collaborative studies examining TCM efficacy, mechanisms of action, and optimal integration with biomedicine. While this model demonstrates the feasibility of large-scale integration within supportive policy environments, challenges persist regarding quality control, evidence standards, and power imbalances between Western and traditional medicine within healthcare hierarchies (Xu &amp; Yang, 2009).</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Māori health service model in New Zealand provides an example of indigenous people leading integration efforts to address health disparities affecting their communities. Māori health providers incorporate traditional healing concepts including wairua (spirituality), whānau (family), and connection to whenua (land) within healthcare services, while also providing conventional medical care. Services emphasize culturally appropriate care delivery, Māori practitioner workforce development, and community governance of health programs. </w:t>
      </w:r>
      <w:r w:rsidRPr="00B14CCC">
        <w:rPr>
          <w:rFonts w:ascii="Times New Roman" w:eastAsia="Times New Roman" w:hAnsi="Times New Roman" w:cs="Times New Roman"/>
          <w:sz w:val="24"/>
          <w:szCs w:val="24"/>
        </w:rPr>
        <w:lastRenderedPageBreak/>
        <w:t>Evaluations indicate improved health outcomes and increased healthcare utilization among Māori populations served by these integrated programs compared with conventional services, demonstrating benefits of community-centered integration approaches (Durie, 2004).</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University </w:t>
      </w:r>
      <w:proofErr w:type="gramStart"/>
      <w:r w:rsidRPr="00B14CCC">
        <w:rPr>
          <w:rFonts w:ascii="Times New Roman" w:eastAsia="Times New Roman" w:hAnsi="Times New Roman" w:cs="Times New Roman"/>
          <w:sz w:val="24"/>
          <w:szCs w:val="24"/>
        </w:rPr>
        <w:t>of</w:t>
      </w:r>
      <w:proofErr w:type="gramEnd"/>
      <w:r w:rsidRPr="00B14CCC">
        <w:rPr>
          <w:rFonts w:ascii="Times New Roman" w:eastAsia="Times New Roman" w:hAnsi="Times New Roman" w:cs="Times New Roman"/>
          <w:sz w:val="24"/>
          <w:szCs w:val="24"/>
        </w:rPr>
        <w:t xml:space="preserve"> Arizona Center for Integrative Medicine exemplifies the academic integrative medicine center model in the United States. The center conducts research on integrative approaches, provides clinical services combining conventional and complementary therapies, and offers educational programs training healthcare professionals in integrative medicine. The fellowship program has trained hundreds of physicians who subsequently established integrative programs at their institutions, creating a multiplier effect advancing integration nationally. The academic center model leverages research and education missions to generate evidence supporting integration and develop workforce capacity for integrative practice (Maizes et al., 2009).</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Traditional birth attendant integration programs in various low- and middle-income countries illustrate integration efforts addressing maternal health in resource-constrained settings. These programs train traditional birth attendants in hygienic practices, danger sign recognition, and basic obstetric interventions while respecting their cultural roles and traditional knowledge. Collaborative models establish referral linkages between traditional birth attendants and healthcare facilities, enabling prompt transfer of high-risk cases while allowing traditional attendants to continue supporting normal births within communities. Research indicates that well-designed programs improve maternal and neonatal outcomes while enhancing cultural acceptability of maternal health services (Sibley &amp; Sipe, 2006).</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National Aboriginal Community Controlled Health Organisation in Australia coordinates integration efforts across Aboriginal health services nationwide. These community-controlled centers combine Western primary care with traditional healing practices, cultural programs, and comprehensive services addressing social determinants of Aboriginal health. Integration approaches vary across communities based on local traditions, needs, and resources, but consistently emphasize Aboriginal community governance, culturally safe care, and healing practices addressing colonization trauma alongside physical health concerns. Evaluations demonstrate improved health outcomes, enhanced cultural appropriateness, and community empowerment through this integration model (National Aboriginal Community Controlled Health Organisation, 2011).</w:t>
      </w:r>
    </w:p>
    <w:p w:rsidR="003A55A4" w:rsidRPr="00B14CCC" w:rsidRDefault="003A55A4"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Cultural Safety and Ethical Considerations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integration of indigenous healing practices with Western medicine raises profound ethical considerations that extend beyond conventional medical ethics to encompass issues of cultural respect, power dynamics, intellectual property, and historical justice. Addressing these ethical dimensions requires frameworks that honor indigenous rights, ensure equitable partnerships, and protect traditional knowledge from exploitation while enabling beneficial integration that serves patient and community wellbeing (United Nations, 2007).</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Cultural safety, a concept originating from Māori nurses in New Zealand, provides an essential ethical framework for integrative practice. Cultural safety goes beyond cultural </w:t>
      </w:r>
      <w:r w:rsidRPr="00B14CCC">
        <w:rPr>
          <w:rFonts w:ascii="Times New Roman" w:eastAsia="Times New Roman" w:hAnsi="Times New Roman" w:cs="Times New Roman"/>
          <w:sz w:val="24"/>
          <w:szCs w:val="24"/>
        </w:rPr>
        <w:lastRenderedPageBreak/>
        <w:t>competence or cultural sensitivity to address power imbalances and structural inequities within healthcare relationships. Culturally safe care requires healthcare providers to examine their own cultural assumptions, recognize how power dynamics influence healthcare encounters, and practice in ways that affirm patients' cultural identities and enable patients to experience care as safe and respectful (Ramsden, 2002). For integrative medicine, cultural safety implies that traditional healing practices are honored as legitimate knowledge systems rather than subordinated to Western medical authority.</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principle of free, prior, and informed consent, articulated in the United Nations Declaration on the Rights of Indigenous Peoples, applies to integration efforts affecting indigenous communities. This principle requires that indigenous peoples have the right to participate in decisions affecting their traditional knowledge and healthcare systems, that consultation occurs before integration initiatives </w:t>
      </w:r>
      <w:proofErr w:type="gramStart"/>
      <w:r w:rsidRPr="00B14CCC">
        <w:rPr>
          <w:rFonts w:ascii="Times New Roman" w:eastAsia="Times New Roman" w:hAnsi="Times New Roman" w:cs="Times New Roman"/>
          <w:sz w:val="24"/>
          <w:szCs w:val="24"/>
        </w:rPr>
        <w:t>proceed</w:t>
      </w:r>
      <w:proofErr w:type="gramEnd"/>
      <w:r w:rsidRPr="00B14CCC">
        <w:rPr>
          <w:rFonts w:ascii="Times New Roman" w:eastAsia="Times New Roman" w:hAnsi="Times New Roman" w:cs="Times New Roman"/>
          <w:sz w:val="24"/>
          <w:szCs w:val="24"/>
        </w:rPr>
        <w:t>, and that communities can withhold consent to programs they consider inappropriate or harmful. Meaningful engagement requires more than token consultation; it necessitates genuine partnerships wherein indigenous communities shape integration goals, implementation approaches, and evaluation processes (United Nations, 2007).</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Protection of traditional knowledge and intellectual property rights represents a significant ethical concern in integration contexts. Traditional medical knowledge, often collectively held within indigenous communities and transmitted across generations, faces exploitation risks when commercialized or appropriated without community benefit. Biopiracy – the unauthorized extraction and patenting of traditional knowledge or biological resources – has affected numerous indigenous communities worldwide. Ethical integration requires mechanisms protecting traditional knowledge, ensuring equitable benefit sharing when traditional practices are commercialized, and respecting communities' rights to control their intellectual property (Robinson, 2010).</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Quality and safety concerns must be addressed without unfairly targeting traditional practices or imposing inappropriate regulatory frameworks. While patient safety represents a legitimate concern, regulatory approaches should not assume Western medical standards as universal norms or require traditional practices to conform to evaluation methods incompatible with their underlying philosophies. Collaborative development of safety standards that protect patients while respecting traditional practice integrity represents an ethical approach. Concerns about traditional medicine safety should be proportionate to actual evidence of harm, considering that Western medicine also carries significant adverse event risks (World Health Organization, 2013).</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potential for integration to undermine or co-opt traditional healing systems raises ethical concerns about cultural preservation. When elements of traditional practices are extracted from cultural contexts and incorporated into Western medical settings, they may lose essential meanings, relationships, and spiritual dimensions that constitute their therapeutic power within traditional frameworks. Integration approaches must consider whether they genuinely honor traditional systems or merely appropriate selected elements while maintaining Western medical dominance. Supporting traditional healers to practice within </w:t>
      </w:r>
      <w:r w:rsidRPr="00B14CCC">
        <w:rPr>
          <w:rFonts w:ascii="Times New Roman" w:eastAsia="Times New Roman" w:hAnsi="Times New Roman" w:cs="Times New Roman"/>
          <w:sz w:val="24"/>
          <w:szCs w:val="24"/>
        </w:rPr>
        <w:lastRenderedPageBreak/>
        <w:t>their cultural frameworks, rather than requiring assimilation into Western medical institutions, may better preserve traditional knowledge (Naraindas et al., 2014).</w:t>
      </w:r>
    </w:p>
    <w:p w:rsidR="003A55A4" w:rsidRPr="00B14CCC" w:rsidRDefault="003A55A4"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Education and Training for Integrative Practice</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Developing healthcare workforce capacity for effective integrative practice requires substantial changes in medical education, continuing professional development, and cross-cultural training programs. Current medical education systems typically provide minimal exposure to traditional healing systems, leaving most healthcare providers inadequately prepared for integrative practice. Comprehensive education and training initiatives address knowledge gaps, attitude transformation, skill development, and collaborative competencies necessary for working across medical traditions (Kligler et al., 2004).</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Medical school curriculum reform represents a foundational strategy for preparing future physicians for integrative practice. Integration of coursework on complementary and alternative medicine, traditional healing systems, mind-body medicine, and integrative care principles exposes medical students to broader healing frameworks and evidence regarding traditional practices. Clinical experiences in integrative medicine settings provide practical learning opportunities and mentorship from integrative practitioners. However, curriculum integration faces challenges including already overcrowded medical school schedules, limited faculty expertise in integrative medicine, and potential resistance from faculty committed to biomedical orthodoxy. Despite these challenges, increasing numbers of medical schools worldwide have incorporated integrative medicine content into required or elective curricula (Maizes et al., 2009).</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Continuing medical education programs and professional development opportunities enable practicing healthcare providers to develop integrative medicine competencies. Fellowship programs, certificate courses, and workshops offer inte</w:t>
      </w:r>
      <w:r w:rsidR="00A82063">
        <w:rPr>
          <w:rFonts w:ascii="Times New Roman" w:eastAsia="Times New Roman" w:hAnsi="Times New Roman" w:cs="Times New Roman"/>
          <w:sz w:val="24"/>
          <w:szCs w:val="24"/>
        </w:rPr>
        <w:t>nsive training in integ</w:t>
      </w:r>
      <w:r w:rsidRPr="00B14CCC">
        <w:rPr>
          <w:rFonts w:ascii="Times New Roman" w:eastAsia="Times New Roman" w:hAnsi="Times New Roman" w:cs="Times New Roman"/>
          <w:sz w:val="24"/>
          <w:szCs w:val="24"/>
        </w:rPr>
        <w:t>rative approaches for physicians and other healthcare professionals already in practice. The University of Arizona's integrative medicine fellowship, serving as a model replicated at numerous institutions, provides comprehensive training in nutrition, mind-body medicine, manual medicine, traditional healing systems, and integrative treatment approaches for common conditions. Research indicates that physicians completing such programs demonstrate increased knowledge of integrative approaches, more positive attitudes toward traditional medicine, enhanced communication skills regarding complementary therapies, and greater likelihood of incorporating integrative strategies into clinical practice (Kligler et al., 2004).</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Interprofessional education initiatives bring together students and practitioners from different healing traditions to learn collaboratively and develop mutual understanding. These programs create opportunities for Western-trained healthcare providers and traditional medicine practitioners to share knowledge, discuss philosophical differences, explore complementary strengths, and practice collaborative care planning. Interprofessional education has been shown to reduce professional stereotyping, enhance respect across disciplines, improve communication competencies, and strengthen teamwork skills essential for integrated care </w:t>
      </w:r>
      <w:r w:rsidRPr="00B14CCC">
        <w:rPr>
          <w:rFonts w:ascii="Times New Roman" w:eastAsia="Times New Roman" w:hAnsi="Times New Roman" w:cs="Times New Roman"/>
          <w:sz w:val="24"/>
          <w:szCs w:val="24"/>
        </w:rPr>
        <w:lastRenderedPageBreak/>
        <w:t>delivery (Wahner-Roedler et al., 2006). Such programs must navigate power dynamics and ensure that traditional medicine practitioners participate as equal partners rather than subordinate contributors.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Cultural competence training constitutes an essential component of education for integrative practice, enabling healthcare providers to work effectively with diverse populations whose health beliefs and practices may differ from Western medical norms. Effective cultural competence education goes beyond superficial awareness of cultural differences to develop deeper understanding of how culture shapes health experiences, the historical context of medical pluralism, structural barriers affecting healthcare access, and strategies for providing culturally responsive care. Training should address implicit biases, promote self-reflection regarding cultural assumptions, and develop skills for eliciting and negotiating with patients' cultural health beliefs (Betancourt et al., 2003).</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Traditional medicine practitioner education and licensure systems require development and standardization to ensure competence while preserving traditional knowledge transmission methods. Many countries have established traditional medicine education institutions, licensure examinations, and continuing education requirements parallel to those for conventional healthcare providers. However, standardization efforts must balance quality assurance with respect for diverse traditional medicine lineages and teaching methods. Some traditional practices rely on apprenticeship models or spiritual transmission that cannot be easily standardized or evaluated through written examinations. Creating multiple pathways to recognized competence, including portfolio assessment and practice-based evaluation, may better accommodate traditional medicine diversity (World Health Organization, 2013).</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Patient education represents another critical dimension of education for integrative medicine. Patients need information about available integrative options, evidence regarding effectiveness and safety, potential interactions between different treatments, and guidance for making informed decisions about their healthcare. Educational materials should be culturally appropriate, accessible to diverse literacy levels, and available in relevant languages. Healthcare providers should develop skills in shared decision-making that respects patient autonomy while providing expert guidance. Patient education initiatives empower individuals to navigate pluralistic healthcare systems effectively and advocate for their healthcare preferences (Goldstein et al., 2005).</w:t>
      </w:r>
    </w:p>
    <w:p w:rsidR="003A55A4" w:rsidRPr="00B14CCC" w:rsidRDefault="003A55A4"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Policy and Regulatory Frameworks Supporting Integration</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Policy and regulatory environments profoundly influence the feasibility, safety, and sustainability of integrative medicine initiatives. Supportive policy frameworks establish legitimacy for traditional medicine practices, create standards ensuring quality and safety, enable workforce development, facilitate research, and provide financing mechanisms supporting integrative care delivery. Conversely, restrictive or inappropriate regulations can impede beneficial integration, marginalize traditional practices, or expose patients to safety risks through unregulated practice. Developing optimal policy approaches requires balancing multiple objectives including patient safety, traditional knowledge preservation, healthcare </w:t>
      </w:r>
      <w:r w:rsidRPr="00B14CCC">
        <w:rPr>
          <w:rFonts w:ascii="Times New Roman" w:eastAsia="Times New Roman" w:hAnsi="Times New Roman" w:cs="Times New Roman"/>
          <w:sz w:val="24"/>
          <w:szCs w:val="24"/>
        </w:rPr>
        <w:lastRenderedPageBreak/>
        <w:t>access, innovation support, and respect for medical pluralism (World Health Organization, 2013).</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National traditional medicine policies provide overarching frameworks guiding integration efforts and defining relationships between traditional and conventional medical systems. The World Health Organization has encouraged member states to develop such policies, and numerous countries have responded with policies varying widely in scope, implementation mechanisms, and integration approaches. Effective policies articulate clear visions for traditional medicine roles within national healthcare systems, establish regulatory frameworks appropriate to traditional practice contexts, support traditional medicine research and development, facilitate traditional medicine education and workforce development, and promote rational use of traditional medicine products and practices. Policy development should involve meaningful consultation with traditional medicine practitioners and indigenous communities whose knowledge systems are affected (World Health Organization, 2013).</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Regulation of traditional medicine practitioners ensures competence and accountability while respecting diverse traditional medicine systems. Regulatory approaches include licensure or registration systems, scope of practice definitions, educational requirements, continuing education mandates, and disciplinary processes addressing incompetence or misconduct. Effective regulation protects patients from unqualified practitioners while avoiding unnecessary barriers that would exclude legitimate traditional healers. Regulation must accommodate the diversity of traditional medicine practices, including different cultural traditions, training pathways, and practice modalities. Some jurisdictions have established tiered registration systems recognizing different levels of traditional medicine practice, while others have created specialized regulatory boards for specific traditional medicine systems (Hollenberg, 2006).</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Regulation of traditional medicine products, including herbal medicines and traditional preparations, addresses quality, safety, and efficacy concerns while supporting legitimate traditional medicine commerce. Regulatory frameworks typically address manufacturing standards, quality control, labeling requirements, safety monitoring, and efficacy claims. However, applying pharmaceutical regulatory standards designed for single-compound drugs to complex traditional preparations raises challenges. Traditional medicines often contain multiple ingredients with synergistic effects that cannot be evaluated through standard pharmaceutical testing. Regulatory approaches should be proportionate to risk levels, distinguish between traditional use and commercial production, and consider traditional knowledge regarding preparation and use. Some countries have established separate regulatory pathways for traditional medicines recognizing their unique characteristics (World Health Organization, 2013).</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Intellectual property protection for traditional knowledge represents a complex policy domain with implications for integration efforts. Traditional medical knowledge, often collectively held and orally transmitted, does not fit easily into intellectual property frameworks designed for individual inventors and written innovations. Policy mechanisms addressing traditional </w:t>
      </w:r>
      <w:r w:rsidRPr="00B14CCC">
        <w:rPr>
          <w:rFonts w:ascii="Times New Roman" w:eastAsia="Times New Roman" w:hAnsi="Times New Roman" w:cs="Times New Roman"/>
          <w:sz w:val="24"/>
          <w:szCs w:val="24"/>
        </w:rPr>
        <w:lastRenderedPageBreak/>
        <w:t xml:space="preserve">knowledge protection include sui generis systems specifically designed for traditional knowledge, databases documenting traditional knowledge to prevent biopiracy, benefit-sharing agreements when traditional knowledge informs commercial </w:t>
      </w:r>
      <w:proofErr w:type="gramStart"/>
      <w:r w:rsidRPr="00B14CCC">
        <w:rPr>
          <w:rFonts w:ascii="Times New Roman" w:eastAsia="Times New Roman" w:hAnsi="Times New Roman" w:cs="Times New Roman"/>
          <w:sz w:val="24"/>
          <w:szCs w:val="24"/>
        </w:rPr>
        <w:t>development,</w:t>
      </w:r>
      <w:proofErr w:type="gramEnd"/>
      <w:r w:rsidRPr="00B14CCC">
        <w:rPr>
          <w:rFonts w:ascii="Times New Roman" w:eastAsia="Times New Roman" w:hAnsi="Times New Roman" w:cs="Times New Roman"/>
          <w:sz w:val="24"/>
          <w:szCs w:val="24"/>
        </w:rPr>
        <w:t xml:space="preserve"> and recognition of community rights over traditional knowledge. International agreements including the Convention on Biological Diversity and the Nagoya Protocol establish frameworks for fair and equitable sharing of benefits arising from traditional knowledge use (Robinson, 2010).</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Research policy and funding mechanisms significantly influence the evidence base available to support integration decisions. Government research funding agencies should prioritize integrative medicine research addressing evidence gaps, support methodologically rigorous studies designed appropriately for traditional medicine evaluation, and require community engagement in research affecting indigenous healing systems. Research ethics policies must address unique considerations relevant to traditional medicine research, including protection of traditional knowledge, respect for cultural protocols, community consultation requirements, and benefit sharing arrangements. Collaborative research frameworks that engage traditional medicine practitioners as research partners rather than merely study subjects enhance research quality and cultural appropriateness (Buchwald et al., 2006).</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Health insurance coverage policies determine financial accessibility of integrative services for patients and sustainability of integrative programs. Expanding insurance coverage to include evidence-supported traditional medicine services reduces financial barriers to integration, improves equity of access, and enhances program viability. However, coverage expansion requires addressing questions about which traditional practices merit coverage, appropriate reimbursement levels, documentation requirements, and quality oversight mechanisms. Some jurisdictions have adopted inclusive approaches covering diverse traditional practices, while others limit coverage to specific modalities with substantial evidence bases. Value-based payment models that reward health outcomes rather than specific services may particularly suit integrative approaches by focusing on results rather than service modality (Herman et al., 2012).</w:t>
      </w:r>
    </w:p>
    <w:p w:rsidR="003A55A4" w:rsidRPr="00B14CCC" w:rsidRDefault="003A55A4"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Future Directions: Research Priorities and Innovation Opportunities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field of integrative medicine stands at a critical juncture where expanding interest, preliminary evidence of benefits, and growing implementation must be matched by rigorous research addressing remaining knowledge gaps and innovation in care delivery models. Identifying strategic research priorities and fostering innovation can accelerate the development of evidence-based integrative approaches that optimize health outcomes while honoring diverse healing traditions. Several key domains emerge as particularly important for advancing the field over the coming decade.</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Comparative effectiveness research examining different integration models represents a high-priority research need. While various integration approaches exist, limited evidence compares their relative effectiveness, cost-effectiveness, or suitability for different contexts. Research directly comparing parallel practice, consultative integration, embedded integration, and other </w:t>
      </w:r>
      <w:r w:rsidRPr="00B14CCC">
        <w:rPr>
          <w:rFonts w:ascii="Times New Roman" w:eastAsia="Times New Roman" w:hAnsi="Times New Roman" w:cs="Times New Roman"/>
          <w:sz w:val="24"/>
          <w:szCs w:val="24"/>
        </w:rPr>
        <w:lastRenderedPageBreak/>
        <w:t>models across standardized outcomes would inform implementation decisions and enable refinement of integration strategies. Such research should assess not only clinical outcomes but also patient satisfaction, cultural acceptability, provider experience, cost-effectiveness, and sustainability. Pragmatic trial designs that evaluate integration models in real-world healthcare settings would provide particularly relevant evidence for implementation decisions (Dusek et al., 2008).</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Mechanism of action research investigating how traditional healing practices produce therapeutic effects remains essential for understanding integration potential and optimizing treatment protocols. While some traditional practices have been studied extensively, many remain inadequately understood in terms of their physiological, psychological, and social mechanisms. Advanced research methodologies including neuroimaging, genomics, metabolomics, and systems biology approaches can illuminate pathways through which traditional modalities influence health. Understanding mechanisms enables rational integration strategies that combine modalities with complementary mechanisms, identifies patient populations most likely to benefit from specific approaches, and informs safety monitoring by clarifying potential interaction pathways (Wagner &amp; Ulrich-Merzenich, 2009).</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Personalized or precision integrative medicine represents an emerging frontier leveraging advances in genomics, biomarkers, and data analytics to match individuals with optimal integrative treatment combinations. Traditional medicine systems have long emphasized individualization based on constitutional types, pattern diagnosis, or other classification systems. Contemporary precision medicine approaches might validate and refine these traditional individualization strategies using modern biomarkers. Research exploring how genetic variations, biomarker profiles, or other individual characteristics predict response to traditional medicine interventions could enable more targeted integration. Machine learning approaches analyzing large datasets might identify patterns predicting which patients benefit most from particular integrative approaches (Bell et al., 2002).</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Technology-enabled integration innovations offer opportunities to enhance access, coordination, and effectiveness of integrative care. Telemedicine platforms can extend integrative services to underserved areas, enable remote consultations with traditional medicine practitioners, and facilitate care coordination across providers. Mobile health applications might support patient self-management with traditional medicine approaches, provide education about safe integration, and enable symptom tracking and outcome monitoring. Artificial intelligence tools could assist with herb-drug interaction checking, support clinical decision-making regarding integrative treatment selection, and analyze complex traditional medicine diagnostic patterns. However, technology applications must be designed with attention to cultural appropriateness and avoid exacerbating digital divides affecting populations who might most benefit from integrative approaches (Gardiner et al., 2007).</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Health equity research examining how integrative medicine can address healthcare disparities deserves increased attention. Traditional medicine often provides more culturally acceptable and accessible care for marginalized populations who face barriers accessing conventional </w:t>
      </w:r>
      <w:r w:rsidRPr="00B14CCC">
        <w:rPr>
          <w:rFonts w:ascii="Times New Roman" w:eastAsia="Times New Roman" w:hAnsi="Times New Roman" w:cs="Times New Roman"/>
          <w:sz w:val="24"/>
          <w:szCs w:val="24"/>
        </w:rPr>
        <w:lastRenderedPageBreak/>
        <w:t>healthcare. Research should investigate whether and how integrative programs reduce disparities in health outcomes, healthcare access, and quality of care across racial, ethnic, socioeconomic, and geographic divides. Community-based participatory research approaches engaging underserved communities in research design and implementation can ensure that integration efforts effectively address community-identified priorities and are implemented in culturally appropriate ways (King et al., 2009).</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Pediatric integrative medicine represents an understudied area with important implications for children's health. While adults frequently use traditional medicine, research on safety and effectiveness of integrative approaches for pediatric populations remains limited. Children's developmental physiology may affect traditional medicine interventions differently than adults, necessitating specific pediatric research. Additionally, ethical considerations regarding parental decision-making, child assent, and protection of vulnerable populations require careful attention in pediatric integrative medicine contexts. Research priorities include safety profiles of traditional medicines in children, effectiveness of integrative approaches for common pediatric conditions, and family-centered care models incorporating traditional healing for children (Kemper et al., 2008).</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Integration for mental health and substance use disorders presents significant opportunities given the limitations of purely biomedical approaches for these conditions and the strong emphasis on psychosocial-spiritual dimensions within traditional healing systems. Research should examine effectiveness of integrative approaches combining psychotherapy, pharmacotherapy, traditional healing practices, and community support for depression, anxiety, trauma, and substance use disorders. Traditional practices addressing spiritual dimensions of mental health and healing from historical trauma may particularly benefit indigenous and minority populations affected by intergenerational trauma and cultural disruption. Mental health integration research must attend to cultural concepts of mental health and illness that vary across populations (Gone &amp; Trimble, 2012).</w:t>
      </w:r>
    </w:p>
    <w:p w:rsidR="003A55A4" w:rsidRPr="00B14CCC" w:rsidRDefault="003A55A4"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Challenges and Barriers to Integration</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Despite growing interest and preliminary evidence supporting integrative medicine, substantial challenges and barriers impede widespread implementation of effective integration models. Understanding these obstacles is essential for developing strategies to overcome them and for setting realistic expectations regarding integration timelines and feasibility. The barriers operate at multiple levels including individual provider attitudes, institutional policies, regulatory frameworks, financial structures, and broader socio-political contexts.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Professional resistance and skepticism within Western medical communities represent significant barriers to integration. Many conventionally trained healthcare providers harbor doubts about traditional medicine effectiveness, safety, and legitimacy based on perceptions that traditional practices lack scientific validation. Some view integration as threatening to scientific medicine or express concerns about validating practices they consider unproven or implausible. Professional socialization emphasizing biomedical models and scientific </w:t>
      </w:r>
      <w:r w:rsidRPr="00B14CCC">
        <w:rPr>
          <w:rFonts w:ascii="Times New Roman" w:eastAsia="Times New Roman" w:hAnsi="Times New Roman" w:cs="Times New Roman"/>
          <w:sz w:val="24"/>
          <w:szCs w:val="24"/>
        </w:rPr>
        <w:lastRenderedPageBreak/>
        <w:t>skepticism can create attitudinal barriers that impede collaboration with traditional medicine practitioners. Addressing professional resistance requires education about integrative medicine evidence, exposure to successful integration examples, and cultural change within medical institutions valuing diverse healing approaches (Hollenberg &amp; Muzzin, 2010).</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Power imbalances and professional hierarchies within healthcare systems often subordinate traditional medicine to Western medical authority even within supposedly integrated settings. Historical colonialism, scientific hegemony, and social status differences between conventionally trained physicians and traditional healers create structural inequities affecting integration dynamics. Traditional medicine practitioners may have limited voice in policy decisions, face disrespect from conventional colleagues, or find their knowledge devalued within integration programs. Genuine integration requires addressing these power dynamics through policies ensuring traditional medicine practitioners' equal participation in governance, compensation equity, and institutional mechanisms promoting mutual respect across healing traditions (Hollenberg, 2006).</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Inadequate evidence base for many traditional practices presents legitimate challenges for integration within evidence-based medicine frameworks. While some traditional modalities have been extensively studied, many lack rigorous research evaluating effectiveness, safety, mechanisms, and optimal use parameters. The evidence gaps reflect both the relatively recent scientific attention to traditional medicine research and the methodological challenges of studying traditional practices. However, absence of evidence should not be equated with evidence of absence; many traditional practices simply have not been studied adequately rather than having been proven ineffective. Balanced approaches acknowledge evidence limitations while supporting continued use of traditional practices with long histories of safe use and undertaking research to address evidence gaps (Kaptchuk, 2001).</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Financial and reimbursement barriers limit integration program sustainability and patient access to integrated services. Many health insurance systems exclude traditional medicine services from coverage, creating financial barriers for patients and making integrative programs economically unviable. Even when coverage exists, reimbursement rates may be inadequate to support traditional medicine services or integration coordination activities. Healthcare providers investing time in integration program development, care coordination, or interprofessional consultation may lack financial support for these efforts within fee-for-service payment systems. Advocacy for insurance coverage expansion and development of payment models that appropriately value integrative care represent essential strategies for addressing financial barriers (Herman et al., 2012).</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Regulatory obstacles including lack of clear legal frameworks for traditional medicine practice, restrictive scope of practice regulations, and onerous licensure requirements impede integration in some jurisdictions. Conventional medical regulations may not accommodate traditional medicine practices, creating legal uncertainties for practitioners and institutions. Overly restrictive regulations can exclude qualified traditional healers from practicing legally or participating in integrated programs. Conversely, absence of regulation may expose patients to unqualified practitioners and create patient safety concerns that hinder institutional </w:t>
      </w:r>
      <w:r w:rsidRPr="00B14CCC">
        <w:rPr>
          <w:rFonts w:ascii="Times New Roman" w:eastAsia="Times New Roman" w:hAnsi="Times New Roman" w:cs="Times New Roman"/>
          <w:sz w:val="24"/>
          <w:szCs w:val="24"/>
        </w:rPr>
        <w:lastRenderedPageBreak/>
        <w:t>willingness to incorporate traditional medicine. Regulatory reform establishing appropriate frameworks for traditional medicine practice represents an important policy priority (Hollenberg, 2006).</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Limited workforce capacity including shortages of qualified traditional medicine practitioners, insufficient numbers of healthcare providers trained in integrative medicine, and lack of cultural competence among conventional providers constrains integration expansion. Developing workforce capacity requires investment in traditional medicine education, integrative medicine training programs, and cultural competence development. However, workforce development efforts face challenges including limited funding, competing demands for healthcare provider training time, and in some contexts, declining transmission of traditional knowledge as younger generations pursue other career paths. Strategic workforce development initiatives must address these multiple dimensions (Maizes et al., 2009).</w:t>
      </w:r>
    </w:p>
    <w:p w:rsidR="003A55A4" w:rsidRPr="00B14CCC" w:rsidRDefault="003A55A4"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Recommendations for Advancing Integrative Medicine</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Based on the evidence synthesis and analysis presented throughout this paper, several strategic recommendations emerge for advancing integrative medicine in ways that honor diverse healing traditions, maintain scientific rigor, enhance patient care, and promote health equity. These recommendations address multiple stakeholder groups including policymakers, healthcare institutions, researchers, educators, and healthcare providers, recognizing that successful integration requires coordinated action across sectors.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Healthcare systems and institutions should develop explicit integrative medicine policies and implementation plans that articulate integration goals, establish governance structures including traditional medicine representation, allocate adequate resources, and create accountability mechanisms. Institutions should invest in infrastructure supporting integration including interprofessional communication systems, collaborative care spaces, and integration coordination roles. Credentialing processes should be developed collaboratively with traditional medicine communities to ensure appropriate evaluation of traditional medicine practitioners while respecting diverse training pathways. Patient safety protocols should address integration-specific concerns including potential interactions and coordination failures while avoiding disproportionate scrutiny of traditional practices.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Research funders and institutions should prioritize integrative medicine research addressing key evidence gaps and methodological innovation. Funding priorities should include comparative effectiveness studies of different integration models, mechanism of action research elucidating how traditional practices produce therapeutic effects, pragmatic trials evaluating integrated programs in real-world settings, and health equity research examining integration impacts on disparities. Research programs should support methodological innovation enabling rigorous evaluation of complex, individualized, and context-dependent interventions characteristic of many traditional practices. Participatory research approaches engaging traditional medicine practitioners and communities as partners should be encouraged through funding mechanisms and research ethics policies (Verhoef et al., 2005).</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Medical and health professions education programs should integrate content on traditional healing systems, integrative medicine principles, and cultural competence throughout curricula rather than limiting coverage to isolated electives. Required clinical experiences in integrative settings should be established to provide practical learning opportunities. Interprofessional education initiatives bringing together students from conventional and traditional medicine training programs should be expanded to foster mutual understanding and collaborative competencies. Faculty development programs should build integrative medicine teaching capacity across health professions education. Continuing education requirements for licensed practitioners should include integrative medicine and cultural competence content to ensure practicing providers maintain current knowledge (Kligler et al., 2004).</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Policymakers should develop comprehensive traditional medicine policies establishing clear frameworks for traditional medicine roles within national healthcare systems, appropriate regulatory approaches, research and development support, workforce development, and financing mechanisms. Regulatory frameworks should be developed collaboratively with traditional medicine communities to ensure appropriateness for diverse traditional practices while maintaining patient safety. Intellectual property policies should protect traditional knowledge from exploitation while enabling appropriate knowledge sharing and innovation. Health insurance coverage should be expanded to include evidence-supported traditional medicine services, and payment models should appropriately value integration coordination and comprehensive care. International cooperation should be strengthened to share learning across countries and support traditional medicine development globally (World Health Organization, 2013).</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Healthcare providers should pursue education in integrative medicine relevant to their practice contexts, develop cultural competence enabling respectful engagement with diverse healing traditions, and cultivate collaborative relationships with traditional medicine practitioners. Providers should become informed about local traditional medicine resources and develop appropriate referral networks. Clinical practice should incorporate routine inquiry about patients' use of traditional medicine, open communication about integrative options, and collaborative decision-making respecting patient preferences. Providers should maintain curiosity and openness to learning from traditional healing wisdom while maintaining commitment to evidence-based practice and patient safety (Bell et al., 2002).</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Traditional medicine practitioners and communities should be supported in preserving and transmitting traditional knowledge while engaging with integration opportunities aligning with community values. Support is needed for traditional medicine education programs, documentation of traditional medical knowledge, traditional medicine research from indigenous perspectives, and traditional medicine practitioner organization development. Traditional medicine communities should be empowered to make informed decisions about integration participation and to shape integration approaches affecting their practices. Protection of traditional knowledge and equitable benefit sharing should be ensured when traditional medicine informs commercial or institutional development (United Nations, 2007).</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Patients should be empowered through education enabling informed decision-making about integrative options, supported in communicating their use of traditional medicine to all healthcare providers, and respected in their healthcare preferences and cultural health beliefs. Patient advocacy organizations should represent patient interests in integration policy development. Patient-centered outcomes research should inform understanding of what integration approaches best serve patient-defined priorities. Healthcare systems should ensure patients have access to culturally appropriate integrative options and support for navigating pluralistic healthcare landscapes.</w:t>
      </w:r>
    </w:p>
    <w:p w:rsidR="003A55A4" w:rsidRPr="00B14CCC" w:rsidRDefault="003A55A4"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Conclusion</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integration of indigenous healing practices with evidence-based Western medicine represents a transformative opportunity to enhance healthcare quality, accessibility, and cultural appropriateness while honoring humanity's diverse healing wisdom. This research paper has examined the theoretical foundations supporting integrative approaches, analyzed the characteristics and mechanisms of traditional healing systems, evaluated the evidence base for integration benefits, explored implementation frameworks and challenges, and proposed recommendations for advancing the field. The synthesis reveals that while significant evidence supports integration potential and numerous successful examples demonstrate feasibility, substantial work remains to realize the promise of truly integrative healthcare systems.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biomedical model that has dominated Western healthcare for the past century has generated remarkable advances in disease understanding and treatment capability. However, its limitations in addressing chronic illness, promoting wellness, and providing holistic person-centered care have become increasingly apparent. Indigenous healing traditions, refined through millennia of empirical observation and cultural evolution, offer complementary strengths including holistic frameworks, emphasis on prevention and balance, attention to psychosocial-spiritual dimensions of health, and culturally resonant healing practices. The integration of these complementary systems has potential to produce healthcare approaches superior to either system alone.</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Evidence supporting specific integrative approaches continues to accumulate, with systematic reviews documenting benefits of practices including acupuncture, mind-body therapies, and selected herbal medicines for various conditions. Research on comprehensive integrative programs demonstrates improvements in patient satisfaction, quality of life, and in some cases clinical outcomes, though more rigorous studies are needed. The evidence base, while growing, remains incomplete for many traditional practices, reflecting both the relatively recent scientific attention to traditional medicine and the methodological challenges of studying complex, context-dependent interventions. Continued research employing innovative methodologies appropriate for traditional medicine evaluation represents a critical priority.</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Successful implementation of integrative medicine requires addressing multiple levels of influence including individual provider knowledge and attitudes, institutional policies and </w:t>
      </w:r>
      <w:r w:rsidRPr="00B14CCC">
        <w:rPr>
          <w:rFonts w:ascii="Times New Roman" w:eastAsia="Times New Roman" w:hAnsi="Times New Roman" w:cs="Times New Roman"/>
          <w:sz w:val="24"/>
          <w:szCs w:val="24"/>
        </w:rPr>
        <w:lastRenderedPageBreak/>
        <w:t>resources, professional relationships and power dynamics, regulatory frameworks, financing mechanisms, and broader socio-political contexts. The case studies examined demonstrate that integration is achievable across diverse settings when approached with institutional commitment, collaborative partnerships, cultural safety, and attention to practical implementation challenges. However, significant barriers including professional resistance, power imbalances, regulatory obstacles, financial constraints, and workforce capacity limitations must be overcome to enable widespread integration.</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ethical dimensions of integrative medicine deserve ongoing attention, particularly regarding cultural safety, indigenous rights, traditional knowledge protection, and equitable partnerships. Integration efforts must avoid reproducing historical patterns of colonialism and knowledge appropriation, instead genuinely honoring traditional healing systems and empowering indigenous communities in shaping integration approaches. The principles of free, prior, and informed consent, equitable benefit sharing, and intellectual property protection should guide all integration initiatives affecting indigenous healing traditions.</w:t>
      </w:r>
    </w:p>
    <w:p w:rsidR="003A55A4" w:rsidRPr="00B14CCC"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Looking forward, the future of integrative medicine depends on coordinated action across multiple stakeholder groups. Policymakers must develop supportive regulatory and financing frameworks that enable safe, accessible integration. Healthcare institutions must invest in infrastructure, workforce development, and cultural change supporting collaborative practice across healing traditions. Researchers must prioritize evidence generation addressing key knowledge gaps while </w:t>
      </w:r>
      <w:proofErr w:type="gramStart"/>
      <w:r w:rsidRPr="00B14CCC">
        <w:rPr>
          <w:rFonts w:ascii="Times New Roman" w:eastAsia="Times New Roman" w:hAnsi="Times New Roman" w:cs="Times New Roman"/>
          <w:sz w:val="24"/>
          <w:szCs w:val="24"/>
        </w:rPr>
        <w:t>innovating</w:t>
      </w:r>
      <w:proofErr w:type="gramEnd"/>
      <w:r w:rsidRPr="00B14CCC">
        <w:rPr>
          <w:rFonts w:ascii="Times New Roman" w:eastAsia="Times New Roman" w:hAnsi="Times New Roman" w:cs="Times New Roman"/>
          <w:sz w:val="24"/>
          <w:szCs w:val="24"/>
        </w:rPr>
        <w:t xml:space="preserve"> methodologies appropriate for studying traditional healing practices. Educators must prepare healthcare professionals with knowledge, skills, and attitudes necessary for effective integrative practice. Healthcare providers must cultivate openness to diverse healing approaches while maintaining commitment to evidence-based practice. Traditional medicine practitioners and communities must be empowered as equal partners in integration efforts that respect their knowledge and serve their communities. Patients must be supported in making informed decisions about integrative options that align with their values and cultural backgrounds.</w:t>
      </w:r>
    </w:p>
    <w:p w:rsidR="003A55A4" w:rsidRDefault="003A55A4"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integration of indigenous healing practices and evidence-based Western medicine ultimately represents more than a healthcare delivery innovation. It embodies a broader recognition that humanity's healing wisdom is diverse, that multiple ways of knowing can contribute valuable insights, and that healthcare systems serving diverse populations must honor this pluralism. As healthcare confronts challenges including chronic disease burden, mental health crises, healthcare disparities, and unsustainable costs, integrative approaches offer promising pathways forward. By bridging traditional wisdom and modern science, respecting cultural diversity, and maintaining focus on patient wellbeing, integrative medicine models can contribute to healthcare systems that are more effective, equitable, and humane. The realization of this vision requires sustained commitment, collaborative partnership, rigorous research, and cultural transformation within healthcare systems and institutions. The potential benefits for individual and population health make this challenging work essential and worthwhile.</w:t>
      </w:r>
    </w:p>
    <w:p w:rsidR="00A82063" w:rsidRPr="00B14CCC" w:rsidRDefault="00A82063" w:rsidP="00B14CCC">
      <w:pPr>
        <w:jc w:val="both"/>
        <w:rPr>
          <w:rFonts w:ascii="Times New Roman" w:eastAsia="Times New Roman" w:hAnsi="Times New Roman" w:cs="Times New Roman"/>
          <w:sz w:val="24"/>
          <w:szCs w:val="24"/>
        </w:rPr>
      </w:pPr>
    </w:p>
    <w:p w:rsidR="003A55A4" w:rsidRPr="00B14CCC" w:rsidRDefault="003A55A4"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lastRenderedPageBreak/>
        <w:t>References</w:t>
      </w:r>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Ahn, A. C., Tewari, M., Poon, C. S., &amp; Phillips, R. S. (2006). The limits of reductionism in medicine: Could systems biology offer an alternative? </w:t>
      </w:r>
      <w:r w:rsidRPr="00A82063">
        <w:rPr>
          <w:rFonts w:ascii="Times New Roman" w:eastAsia="Times New Roman" w:hAnsi="Times New Roman" w:cs="Times New Roman"/>
          <w:i/>
          <w:iCs/>
          <w:sz w:val="24"/>
          <w:szCs w:val="24"/>
        </w:rPr>
        <w:t>PLOS Medicine, 3</w:t>
      </w:r>
      <w:r w:rsidRPr="00A82063">
        <w:rPr>
          <w:rFonts w:ascii="Times New Roman" w:eastAsia="Times New Roman" w:hAnsi="Times New Roman" w:cs="Times New Roman"/>
          <w:sz w:val="24"/>
          <w:szCs w:val="24"/>
        </w:rPr>
        <w:t xml:space="preserve">(6), e208. </w:t>
      </w:r>
      <w:hyperlink r:id="rId136" w:history="1">
        <w:r w:rsidRPr="00A82063">
          <w:rPr>
            <w:rFonts w:ascii="Times New Roman" w:eastAsia="Times New Roman" w:hAnsi="Times New Roman" w:cs="Times New Roman"/>
            <w:color w:val="0000FF"/>
            <w:sz w:val="24"/>
            <w:szCs w:val="24"/>
            <w:u w:val="single"/>
          </w:rPr>
          <w:t>https://doi.org/10.1371/journal.pmed.0030208</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Antonovsky, A. (1996). The salutogenic model as a theory to guide health promotion. </w:t>
      </w:r>
      <w:r w:rsidRPr="00A82063">
        <w:rPr>
          <w:rFonts w:ascii="Times New Roman" w:eastAsia="Times New Roman" w:hAnsi="Times New Roman" w:cs="Times New Roman"/>
          <w:i/>
          <w:iCs/>
          <w:sz w:val="24"/>
          <w:szCs w:val="24"/>
        </w:rPr>
        <w:t>Health Promotion International, 11</w:t>
      </w:r>
      <w:r w:rsidRPr="00A82063">
        <w:rPr>
          <w:rFonts w:ascii="Times New Roman" w:eastAsia="Times New Roman" w:hAnsi="Times New Roman" w:cs="Times New Roman"/>
          <w:sz w:val="24"/>
          <w:szCs w:val="24"/>
        </w:rPr>
        <w:t xml:space="preserve">(1), 11-18. </w:t>
      </w:r>
      <w:hyperlink r:id="rId137" w:history="1">
        <w:r w:rsidRPr="00A82063">
          <w:rPr>
            <w:rFonts w:ascii="Times New Roman" w:eastAsia="Times New Roman" w:hAnsi="Times New Roman" w:cs="Times New Roman"/>
            <w:color w:val="0000FF"/>
            <w:sz w:val="24"/>
            <w:szCs w:val="24"/>
            <w:u w:val="single"/>
          </w:rPr>
          <w:t>https://doi.org/10.1093/heapro/11.1.11</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Baer, H. A. (2003). Complementary and alternative medicine: Processes of legitimation, professionalization, and cooption. In M. Kelner, B. Wellman, B. Pescosolido, &amp; M. Saks (Eds.), </w:t>
      </w:r>
      <w:r w:rsidRPr="00A82063">
        <w:rPr>
          <w:rFonts w:ascii="Times New Roman" w:eastAsia="Times New Roman" w:hAnsi="Times New Roman" w:cs="Times New Roman"/>
          <w:i/>
          <w:iCs/>
          <w:sz w:val="24"/>
          <w:szCs w:val="24"/>
        </w:rPr>
        <w:t>Complementary and alternative medicine: Challenge and change</w:t>
      </w:r>
      <w:r w:rsidRPr="00A82063">
        <w:rPr>
          <w:rFonts w:ascii="Times New Roman" w:eastAsia="Times New Roman" w:hAnsi="Times New Roman" w:cs="Times New Roman"/>
          <w:sz w:val="24"/>
          <w:szCs w:val="24"/>
        </w:rPr>
        <w:t xml:space="preserve"> (pp. 139-154). Harwood Academic Publishers.</w:t>
      </w:r>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Bell, I. R., Caspi, O., Schwartz, G. E., Grant, K. L., Gaudet, T. W., Rychener, D., Maizes, V., &amp; Weil, A. (2002). Integrative medicine and systemic outcomes research: Issues in the emergence of a new model for primary health care. </w:t>
      </w:r>
      <w:r w:rsidRPr="00A82063">
        <w:rPr>
          <w:rFonts w:ascii="Times New Roman" w:eastAsia="Times New Roman" w:hAnsi="Times New Roman" w:cs="Times New Roman"/>
          <w:i/>
          <w:iCs/>
          <w:sz w:val="24"/>
          <w:szCs w:val="24"/>
        </w:rPr>
        <w:t>Archives of Internal Medicine, 162</w:t>
      </w:r>
      <w:r w:rsidRPr="00A82063">
        <w:rPr>
          <w:rFonts w:ascii="Times New Roman" w:eastAsia="Times New Roman" w:hAnsi="Times New Roman" w:cs="Times New Roman"/>
          <w:sz w:val="24"/>
          <w:szCs w:val="24"/>
        </w:rPr>
        <w:t xml:space="preserve">(2), 133-140. </w:t>
      </w:r>
      <w:hyperlink r:id="rId138" w:history="1">
        <w:r w:rsidRPr="00A82063">
          <w:rPr>
            <w:rFonts w:ascii="Times New Roman" w:eastAsia="Times New Roman" w:hAnsi="Times New Roman" w:cs="Times New Roman"/>
            <w:color w:val="0000FF"/>
            <w:sz w:val="24"/>
            <w:szCs w:val="24"/>
            <w:u w:val="single"/>
          </w:rPr>
          <w:t>https://doi.org/10.1001/archinte.162.2.133</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Benedetti, F., Carlino, E., &amp; Pollo, A. (2011). How placebos change the patient's brain. </w:t>
      </w:r>
      <w:r w:rsidRPr="00A82063">
        <w:rPr>
          <w:rFonts w:ascii="Times New Roman" w:eastAsia="Times New Roman" w:hAnsi="Times New Roman" w:cs="Times New Roman"/>
          <w:i/>
          <w:iCs/>
          <w:sz w:val="24"/>
          <w:szCs w:val="24"/>
        </w:rPr>
        <w:t>Neuropsychopharmacology, 36</w:t>
      </w:r>
      <w:r w:rsidRPr="00A82063">
        <w:rPr>
          <w:rFonts w:ascii="Times New Roman" w:eastAsia="Times New Roman" w:hAnsi="Times New Roman" w:cs="Times New Roman"/>
          <w:sz w:val="24"/>
          <w:szCs w:val="24"/>
        </w:rPr>
        <w:t xml:space="preserve">(1), 339-354. </w:t>
      </w:r>
      <w:hyperlink r:id="rId139" w:history="1">
        <w:r w:rsidRPr="00A82063">
          <w:rPr>
            <w:rFonts w:ascii="Times New Roman" w:eastAsia="Times New Roman" w:hAnsi="Times New Roman" w:cs="Times New Roman"/>
            <w:color w:val="0000FF"/>
            <w:sz w:val="24"/>
            <w:szCs w:val="24"/>
            <w:u w:val="single"/>
          </w:rPr>
          <w:t>https://doi.org/10.1038/npp.2010.81</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Betancourt, J. R., Green, A. R., Carrillo, J. E., &amp; Ananeh-Firempong, O. (2003). Defining cultural competence: A practical framework for addressing racial/ethnic disparities in health and health care. </w:t>
      </w:r>
      <w:r w:rsidRPr="00A82063">
        <w:rPr>
          <w:rFonts w:ascii="Times New Roman" w:eastAsia="Times New Roman" w:hAnsi="Times New Roman" w:cs="Times New Roman"/>
          <w:i/>
          <w:iCs/>
          <w:sz w:val="24"/>
          <w:szCs w:val="24"/>
        </w:rPr>
        <w:t>Public Health Reports, 118</w:t>
      </w:r>
      <w:r w:rsidRPr="00A82063">
        <w:rPr>
          <w:rFonts w:ascii="Times New Roman" w:eastAsia="Times New Roman" w:hAnsi="Times New Roman" w:cs="Times New Roman"/>
          <w:sz w:val="24"/>
          <w:szCs w:val="24"/>
        </w:rPr>
        <w:t xml:space="preserve">(4), 293-302. </w:t>
      </w:r>
      <w:hyperlink r:id="rId140" w:history="1">
        <w:r w:rsidRPr="00A82063">
          <w:rPr>
            <w:rFonts w:ascii="Times New Roman" w:eastAsia="Times New Roman" w:hAnsi="Times New Roman" w:cs="Times New Roman"/>
            <w:color w:val="0000FF"/>
            <w:sz w:val="24"/>
            <w:szCs w:val="24"/>
            <w:u w:val="single"/>
          </w:rPr>
          <w:t>https://doi.org/10.1093/phr/118.4.293</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Bodeker, G., &amp; Kronenberg, F. (2002). A public health agenda for traditional, complementary, and alternative medicine. </w:t>
      </w:r>
      <w:r w:rsidRPr="00A82063">
        <w:rPr>
          <w:rFonts w:ascii="Times New Roman" w:eastAsia="Times New Roman" w:hAnsi="Times New Roman" w:cs="Times New Roman"/>
          <w:i/>
          <w:iCs/>
          <w:sz w:val="24"/>
          <w:szCs w:val="24"/>
        </w:rPr>
        <w:t>American Journal of Public Health, 92</w:t>
      </w:r>
      <w:r w:rsidRPr="00A82063">
        <w:rPr>
          <w:rFonts w:ascii="Times New Roman" w:eastAsia="Times New Roman" w:hAnsi="Times New Roman" w:cs="Times New Roman"/>
          <w:sz w:val="24"/>
          <w:szCs w:val="24"/>
        </w:rPr>
        <w:t xml:space="preserve">(10), 1582-1591. </w:t>
      </w:r>
      <w:hyperlink r:id="rId141" w:history="1">
        <w:r w:rsidRPr="00A82063">
          <w:rPr>
            <w:rFonts w:ascii="Times New Roman" w:eastAsia="Times New Roman" w:hAnsi="Times New Roman" w:cs="Times New Roman"/>
            <w:color w:val="0000FF"/>
            <w:sz w:val="24"/>
            <w:szCs w:val="24"/>
            <w:u w:val="single"/>
          </w:rPr>
          <w:t>https://doi.org/10.2105/AJPH.92.10.1582</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Buchwald, D., Manson, S. M., Peregoy, J. A., Umans, J. G., Fixico, D. L., &amp; Altschul, J. H. (2006). The strengths, challenges, and lessons of NARCH. </w:t>
      </w:r>
      <w:r w:rsidRPr="00A82063">
        <w:rPr>
          <w:rFonts w:ascii="Times New Roman" w:eastAsia="Times New Roman" w:hAnsi="Times New Roman" w:cs="Times New Roman"/>
          <w:i/>
          <w:iCs/>
          <w:sz w:val="24"/>
          <w:szCs w:val="24"/>
        </w:rPr>
        <w:t>American Journal of Public Health, 96</w:t>
      </w:r>
      <w:r w:rsidRPr="00A82063">
        <w:rPr>
          <w:rFonts w:ascii="Times New Roman" w:eastAsia="Times New Roman" w:hAnsi="Times New Roman" w:cs="Times New Roman"/>
          <w:sz w:val="24"/>
          <w:szCs w:val="24"/>
        </w:rPr>
        <w:t xml:space="preserve">(7), 1116-1120. </w:t>
      </w:r>
      <w:hyperlink r:id="rId142" w:history="1">
        <w:r w:rsidRPr="00A82063">
          <w:rPr>
            <w:rFonts w:ascii="Times New Roman" w:eastAsia="Times New Roman" w:hAnsi="Times New Roman" w:cs="Times New Roman"/>
            <w:color w:val="0000FF"/>
            <w:sz w:val="24"/>
            <w:szCs w:val="24"/>
            <w:u w:val="single"/>
          </w:rPr>
          <w:t>https://doi.org/10.2105/AJPH.2004.053371</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Cassidy, C. M. (2002). Methodology issues in investigations of massage/bodywork therapy: Part II. In A. D. Domar &amp; H. Dreher (Eds.), </w:t>
      </w:r>
      <w:r w:rsidRPr="00A82063">
        <w:rPr>
          <w:rFonts w:ascii="Times New Roman" w:eastAsia="Times New Roman" w:hAnsi="Times New Roman" w:cs="Times New Roman"/>
          <w:i/>
          <w:iCs/>
          <w:sz w:val="24"/>
          <w:szCs w:val="24"/>
        </w:rPr>
        <w:t>Healing mind, healthy woman: Using the mind-body connection to manage stress and take control of your life</w:t>
      </w:r>
      <w:r w:rsidRPr="00A82063">
        <w:rPr>
          <w:rFonts w:ascii="Times New Roman" w:eastAsia="Times New Roman" w:hAnsi="Times New Roman" w:cs="Times New Roman"/>
          <w:sz w:val="24"/>
          <w:szCs w:val="24"/>
        </w:rPr>
        <w:t xml:space="preserve"> (pp. 85-102). Dell Publishing.</w:t>
      </w:r>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Durie, M. (2004). Understanding health and illness: Research at the interface between science and indigenous knowledge. </w:t>
      </w:r>
      <w:r w:rsidRPr="00A82063">
        <w:rPr>
          <w:rFonts w:ascii="Times New Roman" w:eastAsia="Times New Roman" w:hAnsi="Times New Roman" w:cs="Times New Roman"/>
          <w:i/>
          <w:iCs/>
          <w:sz w:val="24"/>
          <w:szCs w:val="24"/>
        </w:rPr>
        <w:t>International Journal of Epidemiology, 33</w:t>
      </w:r>
      <w:r w:rsidRPr="00A82063">
        <w:rPr>
          <w:rFonts w:ascii="Times New Roman" w:eastAsia="Times New Roman" w:hAnsi="Times New Roman" w:cs="Times New Roman"/>
          <w:sz w:val="24"/>
          <w:szCs w:val="24"/>
        </w:rPr>
        <w:t xml:space="preserve">(5), 1138-1143. </w:t>
      </w:r>
      <w:hyperlink r:id="rId143" w:history="1">
        <w:r w:rsidRPr="00A82063">
          <w:rPr>
            <w:rFonts w:ascii="Times New Roman" w:eastAsia="Times New Roman" w:hAnsi="Times New Roman" w:cs="Times New Roman"/>
            <w:color w:val="0000FF"/>
            <w:sz w:val="24"/>
            <w:szCs w:val="24"/>
            <w:u w:val="single"/>
          </w:rPr>
          <w:t>https://doi.org/10.1093/ije/dyh250</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Dusek, J. A., Finch, M., Plotnikoff, G., &amp; Knutson, L. (2008). The impact of integrative medicine on pain management in a tertiary care hospital. </w:t>
      </w:r>
      <w:r w:rsidRPr="00A82063">
        <w:rPr>
          <w:rFonts w:ascii="Times New Roman" w:eastAsia="Times New Roman" w:hAnsi="Times New Roman" w:cs="Times New Roman"/>
          <w:i/>
          <w:iCs/>
          <w:sz w:val="24"/>
          <w:szCs w:val="24"/>
        </w:rPr>
        <w:t>Journal of Patient Safety, 6</w:t>
      </w:r>
      <w:r w:rsidRPr="00A82063">
        <w:rPr>
          <w:rFonts w:ascii="Times New Roman" w:eastAsia="Times New Roman" w:hAnsi="Times New Roman" w:cs="Times New Roman"/>
          <w:sz w:val="24"/>
          <w:szCs w:val="24"/>
        </w:rPr>
        <w:t xml:space="preserve">(2), 48-51. </w:t>
      </w:r>
      <w:hyperlink r:id="rId144" w:history="1">
        <w:r w:rsidRPr="00A82063">
          <w:rPr>
            <w:rFonts w:ascii="Times New Roman" w:eastAsia="Times New Roman" w:hAnsi="Times New Roman" w:cs="Times New Roman"/>
            <w:color w:val="0000FF"/>
            <w:sz w:val="24"/>
            <w:szCs w:val="24"/>
            <w:u w:val="single"/>
          </w:rPr>
          <w:t>https://doi.org/10.1097/PTS.0b013e3181d37503</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Engel, G. L. (1977). The need for a new medical model: A challenge for biomedicine. </w:t>
      </w:r>
      <w:r w:rsidRPr="00A82063">
        <w:rPr>
          <w:rFonts w:ascii="Times New Roman" w:eastAsia="Times New Roman" w:hAnsi="Times New Roman" w:cs="Times New Roman"/>
          <w:i/>
          <w:iCs/>
          <w:sz w:val="24"/>
          <w:szCs w:val="24"/>
        </w:rPr>
        <w:t>Science, 196</w:t>
      </w:r>
      <w:r w:rsidRPr="00A82063">
        <w:rPr>
          <w:rFonts w:ascii="Times New Roman" w:eastAsia="Times New Roman" w:hAnsi="Times New Roman" w:cs="Times New Roman"/>
          <w:sz w:val="24"/>
          <w:szCs w:val="24"/>
        </w:rPr>
        <w:t xml:space="preserve">(4286), 129-136. </w:t>
      </w:r>
      <w:hyperlink r:id="rId145" w:history="1">
        <w:r w:rsidRPr="00A82063">
          <w:rPr>
            <w:rFonts w:ascii="Times New Roman" w:eastAsia="Times New Roman" w:hAnsi="Times New Roman" w:cs="Times New Roman"/>
            <w:color w:val="0000FF"/>
            <w:sz w:val="24"/>
            <w:szCs w:val="24"/>
            <w:u w:val="single"/>
          </w:rPr>
          <w:t>https://doi.org/10.1126/science.847460</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Gardiner, P., Graham, R., Legedza, A. T., Ahn, A. C., Eisenberg, D. M., &amp; Phillips, R. S. (2007). Factors associated with herbal therapy use by adults in the United States. </w:t>
      </w:r>
      <w:r w:rsidRPr="00A82063">
        <w:rPr>
          <w:rFonts w:ascii="Times New Roman" w:eastAsia="Times New Roman" w:hAnsi="Times New Roman" w:cs="Times New Roman"/>
          <w:i/>
          <w:iCs/>
          <w:sz w:val="24"/>
          <w:szCs w:val="24"/>
        </w:rPr>
        <w:t>Alternative Therapies in Health and Medicine, 13</w:t>
      </w:r>
      <w:r w:rsidRPr="00A82063">
        <w:rPr>
          <w:rFonts w:ascii="Times New Roman" w:eastAsia="Times New Roman" w:hAnsi="Times New Roman" w:cs="Times New Roman"/>
          <w:sz w:val="24"/>
          <w:szCs w:val="24"/>
        </w:rPr>
        <w:t>(2), 22-29.</w:t>
      </w:r>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Goldstein, M. S., Brown, E. R., Ballard-Barbash, R., Morgenstern, H., Bastani, R., Lee, J., Gatto, N., &amp; Ambs, A. (2005). The use of complementary and alternative medicine </w:t>
      </w:r>
      <w:r w:rsidRPr="00A82063">
        <w:rPr>
          <w:rFonts w:ascii="Times New Roman" w:eastAsia="Times New Roman" w:hAnsi="Times New Roman" w:cs="Times New Roman"/>
          <w:sz w:val="24"/>
          <w:szCs w:val="24"/>
        </w:rPr>
        <w:lastRenderedPageBreak/>
        <w:t xml:space="preserve">among California adults with and without cancer. </w:t>
      </w:r>
      <w:r w:rsidRPr="00A82063">
        <w:rPr>
          <w:rFonts w:ascii="Times New Roman" w:eastAsia="Times New Roman" w:hAnsi="Times New Roman" w:cs="Times New Roman"/>
          <w:i/>
          <w:iCs/>
          <w:sz w:val="24"/>
          <w:szCs w:val="24"/>
        </w:rPr>
        <w:t>Evidence-Based Complementary and Alternative Medicine, 2</w:t>
      </w:r>
      <w:r w:rsidRPr="00A82063">
        <w:rPr>
          <w:rFonts w:ascii="Times New Roman" w:eastAsia="Times New Roman" w:hAnsi="Times New Roman" w:cs="Times New Roman"/>
          <w:sz w:val="24"/>
          <w:szCs w:val="24"/>
        </w:rPr>
        <w:t xml:space="preserve">(4), 557-565. </w:t>
      </w:r>
      <w:hyperlink r:id="rId146" w:history="1">
        <w:r w:rsidRPr="00A82063">
          <w:rPr>
            <w:rFonts w:ascii="Times New Roman" w:eastAsia="Times New Roman" w:hAnsi="Times New Roman" w:cs="Times New Roman"/>
            <w:color w:val="0000FF"/>
            <w:sz w:val="24"/>
            <w:szCs w:val="24"/>
            <w:u w:val="single"/>
          </w:rPr>
          <w:t>https://doi.org/10.1093/ecam/neh138</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Gone, J. P., &amp; Trimble, J. E. (2012). American Indian and Alaska Native mental health: Diverse perspectives on enduring disparities. </w:t>
      </w:r>
      <w:r w:rsidRPr="00A82063">
        <w:rPr>
          <w:rFonts w:ascii="Times New Roman" w:eastAsia="Times New Roman" w:hAnsi="Times New Roman" w:cs="Times New Roman"/>
          <w:i/>
          <w:iCs/>
          <w:sz w:val="24"/>
          <w:szCs w:val="24"/>
        </w:rPr>
        <w:t>Annual Review of Clinical Psychology, 8</w:t>
      </w:r>
      <w:r w:rsidRPr="00A82063">
        <w:rPr>
          <w:rFonts w:ascii="Times New Roman" w:eastAsia="Times New Roman" w:hAnsi="Times New Roman" w:cs="Times New Roman"/>
          <w:sz w:val="24"/>
          <w:szCs w:val="24"/>
        </w:rPr>
        <w:t xml:space="preserve">, 131-160. </w:t>
      </w:r>
      <w:hyperlink r:id="rId147" w:history="1">
        <w:r w:rsidRPr="00A82063">
          <w:rPr>
            <w:rFonts w:ascii="Times New Roman" w:eastAsia="Times New Roman" w:hAnsi="Times New Roman" w:cs="Times New Roman"/>
            <w:color w:val="0000FF"/>
            <w:sz w:val="24"/>
            <w:szCs w:val="24"/>
            <w:u w:val="single"/>
          </w:rPr>
          <w:t>https://doi.org/10.1146/annurev-clinpsy-032511-143127</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Herman, P. M., Craig, B. M., &amp; Caspi, O. (2012). Is complementary and alternative medicine (CAM) cost-effective? A systematic review. </w:t>
      </w:r>
      <w:r w:rsidRPr="00A82063">
        <w:rPr>
          <w:rFonts w:ascii="Times New Roman" w:eastAsia="Times New Roman" w:hAnsi="Times New Roman" w:cs="Times New Roman"/>
          <w:i/>
          <w:iCs/>
          <w:sz w:val="24"/>
          <w:szCs w:val="24"/>
        </w:rPr>
        <w:t>BMC Complementary and Alternative Medicine, 5</w:t>
      </w:r>
      <w:r w:rsidRPr="00A82063">
        <w:rPr>
          <w:rFonts w:ascii="Times New Roman" w:eastAsia="Times New Roman" w:hAnsi="Times New Roman" w:cs="Times New Roman"/>
          <w:sz w:val="24"/>
          <w:szCs w:val="24"/>
        </w:rPr>
        <w:t xml:space="preserve">, 11. </w:t>
      </w:r>
      <w:hyperlink r:id="rId148" w:history="1">
        <w:r w:rsidRPr="00A82063">
          <w:rPr>
            <w:rFonts w:ascii="Times New Roman" w:eastAsia="Times New Roman" w:hAnsi="Times New Roman" w:cs="Times New Roman"/>
            <w:color w:val="0000FF"/>
            <w:sz w:val="24"/>
            <w:szCs w:val="24"/>
            <w:u w:val="single"/>
          </w:rPr>
          <w:t>https://doi.org/10.1186/1472-6882-5-11</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Hollenberg, D. (2006). Uncharted ground: Patterns of professional interaction among complementary/alternative and biomedical practitioners in integrative health care settings. </w:t>
      </w:r>
      <w:r w:rsidRPr="00A82063">
        <w:rPr>
          <w:rFonts w:ascii="Times New Roman" w:eastAsia="Times New Roman" w:hAnsi="Times New Roman" w:cs="Times New Roman"/>
          <w:i/>
          <w:iCs/>
          <w:sz w:val="24"/>
          <w:szCs w:val="24"/>
        </w:rPr>
        <w:t>Social Science &amp; Medicine, 62</w:t>
      </w:r>
      <w:r w:rsidRPr="00A82063">
        <w:rPr>
          <w:rFonts w:ascii="Times New Roman" w:eastAsia="Times New Roman" w:hAnsi="Times New Roman" w:cs="Times New Roman"/>
          <w:sz w:val="24"/>
          <w:szCs w:val="24"/>
        </w:rPr>
        <w:t xml:space="preserve">(3), 731-744. </w:t>
      </w:r>
      <w:hyperlink r:id="rId149" w:history="1">
        <w:r w:rsidRPr="00A82063">
          <w:rPr>
            <w:rFonts w:ascii="Times New Roman" w:eastAsia="Times New Roman" w:hAnsi="Times New Roman" w:cs="Times New Roman"/>
            <w:color w:val="0000FF"/>
            <w:sz w:val="24"/>
            <w:szCs w:val="24"/>
            <w:u w:val="single"/>
          </w:rPr>
          <w:t>https://doi.org/10.1016/j.socscimed.2005.06.030</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Hollenberg, D., &amp; Muzzin, L. (2010). Epistemological challenges to integrative health care: An anti-colonial perspective on the combination of complementary/alternative medicine with biomedicine. </w:t>
      </w:r>
      <w:r w:rsidRPr="00A82063">
        <w:rPr>
          <w:rFonts w:ascii="Times New Roman" w:eastAsia="Times New Roman" w:hAnsi="Times New Roman" w:cs="Times New Roman"/>
          <w:i/>
          <w:iCs/>
          <w:sz w:val="24"/>
          <w:szCs w:val="24"/>
        </w:rPr>
        <w:t>Health Sociology Review, 19</w:t>
      </w:r>
      <w:r w:rsidRPr="00A82063">
        <w:rPr>
          <w:rFonts w:ascii="Times New Roman" w:eastAsia="Times New Roman" w:hAnsi="Times New Roman" w:cs="Times New Roman"/>
          <w:sz w:val="24"/>
          <w:szCs w:val="24"/>
        </w:rPr>
        <w:t xml:space="preserve">(1), 34-56. </w:t>
      </w:r>
      <w:hyperlink r:id="rId150" w:history="1">
        <w:r w:rsidRPr="00A82063">
          <w:rPr>
            <w:rFonts w:ascii="Times New Roman" w:eastAsia="Times New Roman" w:hAnsi="Times New Roman" w:cs="Times New Roman"/>
            <w:color w:val="0000FF"/>
            <w:sz w:val="24"/>
            <w:szCs w:val="24"/>
            <w:u w:val="single"/>
          </w:rPr>
          <w:t>https://doi.org/10.5172/hesr.2010.19.1.034</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Kaptchuk, T. J. (2001). The double-blind, randomized, placebo-controlled trial: Gold standard or golden calf? </w:t>
      </w:r>
      <w:r w:rsidRPr="00A82063">
        <w:rPr>
          <w:rFonts w:ascii="Times New Roman" w:eastAsia="Times New Roman" w:hAnsi="Times New Roman" w:cs="Times New Roman"/>
          <w:i/>
          <w:iCs/>
          <w:sz w:val="24"/>
          <w:szCs w:val="24"/>
        </w:rPr>
        <w:t>Journal of Clinical Epidemiology, 54</w:t>
      </w:r>
      <w:r w:rsidRPr="00A82063">
        <w:rPr>
          <w:rFonts w:ascii="Times New Roman" w:eastAsia="Times New Roman" w:hAnsi="Times New Roman" w:cs="Times New Roman"/>
          <w:sz w:val="24"/>
          <w:szCs w:val="24"/>
        </w:rPr>
        <w:t xml:space="preserve">(6), 541-549. </w:t>
      </w:r>
      <w:hyperlink r:id="rId151" w:history="1">
        <w:r w:rsidRPr="00A82063">
          <w:rPr>
            <w:rFonts w:ascii="Times New Roman" w:eastAsia="Times New Roman" w:hAnsi="Times New Roman" w:cs="Times New Roman"/>
            <w:color w:val="0000FF"/>
            <w:sz w:val="24"/>
            <w:szCs w:val="24"/>
            <w:u w:val="single"/>
          </w:rPr>
          <w:t>https://doi.org/10.1016/S0895-4356(00)00347-4</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Kaptchuk, T. J., &amp; Miller, F. G. (2005). Viewpoint: What is the best and most ethical model for the relationship between mainstream and alternative medicine: Opposition, integration, or pluralism? </w:t>
      </w:r>
      <w:r w:rsidRPr="00A82063">
        <w:rPr>
          <w:rFonts w:ascii="Times New Roman" w:eastAsia="Times New Roman" w:hAnsi="Times New Roman" w:cs="Times New Roman"/>
          <w:i/>
          <w:iCs/>
          <w:sz w:val="24"/>
          <w:szCs w:val="24"/>
        </w:rPr>
        <w:t>Academic Medicine, 80</w:t>
      </w:r>
      <w:r w:rsidRPr="00A82063">
        <w:rPr>
          <w:rFonts w:ascii="Times New Roman" w:eastAsia="Times New Roman" w:hAnsi="Times New Roman" w:cs="Times New Roman"/>
          <w:sz w:val="24"/>
          <w:szCs w:val="24"/>
        </w:rPr>
        <w:t xml:space="preserve">(3), 286-290. </w:t>
      </w:r>
      <w:hyperlink r:id="rId152" w:history="1">
        <w:r w:rsidRPr="00A82063">
          <w:rPr>
            <w:rFonts w:ascii="Times New Roman" w:eastAsia="Times New Roman" w:hAnsi="Times New Roman" w:cs="Times New Roman"/>
            <w:color w:val="0000FF"/>
            <w:sz w:val="24"/>
            <w:szCs w:val="24"/>
            <w:u w:val="single"/>
          </w:rPr>
          <w:t>https://doi.org/10.1097/00001888-200503000-00016</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Kelley, J. M., Kraft-Todd, G., Schapira, L., Kossowsky, J., &amp; Riess, H. (2014). The influence of the patient-clinician relationship on healthcare outcomes: A systematic review and meta-analysis of randomized controlled trials. </w:t>
      </w:r>
      <w:r w:rsidRPr="00A82063">
        <w:rPr>
          <w:rFonts w:ascii="Times New Roman" w:eastAsia="Times New Roman" w:hAnsi="Times New Roman" w:cs="Times New Roman"/>
          <w:i/>
          <w:iCs/>
          <w:sz w:val="24"/>
          <w:szCs w:val="24"/>
        </w:rPr>
        <w:t>PLOS ONE, 9</w:t>
      </w:r>
      <w:r w:rsidRPr="00A82063">
        <w:rPr>
          <w:rFonts w:ascii="Times New Roman" w:eastAsia="Times New Roman" w:hAnsi="Times New Roman" w:cs="Times New Roman"/>
          <w:sz w:val="24"/>
          <w:szCs w:val="24"/>
        </w:rPr>
        <w:t xml:space="preserve">(4), e94207. </w:t>
      </w:r>
      <w:hyperlink r:id="rId153" w:history="1">
        <w:r w:rsidRPr="00A82063">
          <w:rPr>
            <w:rFonts w:ascii="Times New Roman" w:eastAsia="Times New Roman" w:hAnsi="Times New Roman" w:cs="Times New Roman"/>
            <w:color w:val="0000FF"/>
            <w:sz w:val="24"/>
            <w:szCs w:val="24"/>
            <w:u w:val="single"/>
          </w:rPr>
          <w:t>https://doi.org/10.1371/journal.pone.0094207</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Kemper, K. J., Vohra, S., Walls, R., &amp; Task Force on Complementary and Alternative Medicine. (2008). </w:t>
      </w:r>
      <w:proofErr w:type="gramStart"/>
      <w:r w:rsidRPr="00A82063">
        <w:rPr>
          <w:rFonts w:ascii="Times New Roman" w:eastAsia="Times New Roman" w:hAnsi="Times New Roman" w:cs="Times New Roman"/>
          <w:sz w:val="24"/>
          <w:szCs w:val="24"/>
        </w:rPr>
        <w:t>The</w:t>
      </w:r>
      <w:proofErr w:type="gramEnd"/>
      <w:r w:rsidRPr="00A82063">
        <w:rPr>
          <w:rFonts w:ascii="Times New Roman" w:eastAsia="Times New Roman" w:hAnsi="Times New Roman" w:cs="Times New Roman"/>
          <w:sz w:val="24"/>
          <w:szCs w:val="24"/>
        </w:rPr>
        <w:t xml:space="preserve"> use of complementary and alternative medicine in pediatrics. </w:t>
      </w:r>
      <w:r w:rsidRPr="00A82063">
        <w:rPr>
          <w:rFonts w:ascii="Times New Roman" w:eastAsia="Times New Roman" w:hAnsi="Times New Roman" w:cs="Times New Roman"/>
          <w:i/>
          <w:iCs/>
          <w:sz w:val="24"/>
          <w:szCs w:val="24"/>
        </w:rPr>
        <w:t>Pediatrics, 122</w:t>
      </w:r>
      <w:r w:rsidRPr="00A82063">
        <w:rPr>
          <w:rFonts w:ascii="Times New Roman" w:eastAsia="Times New Roman" w:hAnsi="Times New Roman" w:cs="Times New Roman"/>
          <w:sz w:val="24"/>
          <w:szCs w:val="24"/>
        </w:rPr>
        <w:t xml:space="preserve">(6), 1374-1386. </w:t>
      </w:r>
      <w:hyperlink r:id="rId154" w:history="1">
        <w:r w:rsidRPr="00A82063">
          <w:rPr>
            <w:rFonts w:ascii="Times New Roman" w:eastAsia="Times New Roman" w:hAnsi="Times New Roman" w:cs="Times New Roman"/>
            <w:color w:val="0000FF"/>
            <w:sz w:val="24"/>
            <w:szCs w:val="24"/>
            <w:u w:val="single"/>
          </w:rPr>
          <w:t>https://doi.org/10.1542/peds.2008-2173</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King, M., Smith, A., &amp; Gracey, M. (2009). Indigenous health part 2: The underlying causes of the health gap. </w:t>
      </w:r>
      <w:r w:rsidRPr="00A82063">
        <w:rPr>
          <w:rFonts w:ascii="Times New Roman" w:eastAsia="Times New Roman" w:hAnsi="Times New Roman" w:cs="Times New Roman"/>
          <w:i/>
          <w:iCs/>
          <w:sz w:val="24"/>
          <w:szCs w:val="24"/>
        </w:rPr>
        <w:t>The Lancet, 374</w:t>
      </w:r>
      <w:r w:rsidRPr="00A82063">
        <w:rPr>
          <w:rFonts w:ascii="Times New Roman" w:eastAsia="Times New Roman" w:hAnsi="Times New Roman" w:cs="Times New Roman"/>
          <w:sz w:val="24"/>
          <w:szCs w:val="24"/>
        </w:rPr>
        <w:t xml:space="preserve">(9683), 76-85. </w:t>
      </w:r>
      <w:hyperlink r:id="rId155" w:history="1">
        <w:r w:rsidRPr="00A82063">
          <w:rPr>
            <w:rFonts w:ascii="Times New Roman" w:eastAsia="Times New Roman" w:hAnsi="Times New Roman" w:cs="Times New Roman"/>
            <w:color w:val="0000FF"/>
            <w:sz w:val="24"/>
            <w:szCs w:val="24"/>
            <w:u w:val="single"/>
          </w:rPr>
          <w:t>https://doi.org/10.1016/S0140-6736(09)60827-8</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Kleinman, A. (1980). </w:t>
      </w:r>
      <w:r w:rsidRPr="00A82063">
        <w:rPr>
          <w:rFonts w:ascii="Times New Roman" w:eastAsia="Times New Roman" w:hAnsi="Times New Roman" w:cs="Times New Roman"/>
          <w:i/>
          <w:iCs/>
          <w:sz w:val="24"/>
          <w:szCs w:val="24"/>
        </w:rPr>
        <w:t>Patients and healers in the context of culture: An exploration of the borderland between anthropology, medicine, and psychiatry</w:t>
      </w:r>
      <w:r w:rsidRPr="00A82063">
        <w:rPr>
          <w:rFonts w:ascii="Times New Roman" w:eastAsia="Times New Roman" w:hAnsi="Times New Roman" w:cs="Times New Roman"/>
          <w:sz w:val="24"/>
          <w:szCs w:val="24"/>
        </w:rPr>
        <w:t>. University of California Press.</w:t>
      </w:r>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Kligler, B., Maizes, V., Schachter, S., Park, C. M., Gaudet, T., Benn, R., Lee, R., &amp; Remen, R. N. (2004). Core competencies in integrative medicine for medical school curricula: A proposal. </w:t>
      </w:r>
      <w:r w:rsidRPr="00A82063">
        <w:rPr>
          <w:rFonts w:ascii="Times New Roman" w:eastAsia="Times New Roman" w:hAnsi="Times New Roman" w:cs="Times New Roman"/>
          <w:i/>
          <w:iCs/>
          <w:sz w:val="24"/>
          <w:szCs w:val="24"/>
        </w:rPr>
        <w:t>Academic Medicine, 79</w:t>
      </w:r>
      <w:r w:rsidRPr="00A82063">
        <w:rPr>
          <w:rFonts w:ascii="Times New Roman" w:eastAsia="Times New Roman" w:hAnsi="Times New Roman" w:cs="Times New Roman"/>
          <w:sz w:val="24"/>
          <w:szCs w:val="24"/>
        </w:rPr>
        <w:t xml:space="preserve">(6), 521-531. </w:t>
      </w:r>
      <w:hyperlink r:id="rId156" w:history="1">
        <w:r w:rsidRPr="00A82063">
          <w:rPr>
            <w:rFonts w:ascii="Times New Roman" w:eastAsia="Times New Roman" w:hAnsi="Times New Roman" w:cs="Times New Roman"/>
            <w:color w:val="0000FF"/>
            <w:sz w:val="24"/>
            <w:szCs w:val="24"/>
            <w:u w:val="single"/>
          </w:rPr>
          <w:t>https://doi.org/10.1097/00001888-200406000-00006</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Kroenke, K., &amp; Mangelsdorff, A. D. (1989). Common symptoms in ambulatory care: Incidence, evaluation, therapy, and outcome. </w:t>
      </w:r>
      <w:r w:rsidRPr="00A82063">
        <w:rPr>
          <w:rFonts w:ascii="Times New Roman" w:eastAsia="Times New Roman" w:hAnsi="Times New Roman" w:cs="Times New Roman"/>
          <w:i/>
          <w:iCs/>
          <w:sz w:val="24"/>
          <w:szCs w:val="24"/>
        </w:rPr>
        <w:t>The American Journal of Medicine, 86</w:t>
      </w:r>
      <w:r w:rsidRPr="00A82063">
        <w:rPr>
          <w:rFonts w:ascii="Times New Roman" w:eastAsia="Times New Roman" w:hAnsi="Times New Roman" w:cs="Times New Roman"/>
          <w:sz w:val="24"/>
          <w:szCs w:val="24"/>
        </w:rPr>
        <w:t xml:space="preserve">(3), 262-266. </w:t>
      </w:r>
      <w:hyperlink r:id="rId157" w:history="1">
        <w:r w:rsidRPr="00A82063">
          <w:rPr>
            <w:rFonts w:ascii="Times New Roman" w:eastAsia="Times New Roman" w:hAnsi="Times New Roman" w:cs="Times New Roman"/>
            <w:color w:val="0000FF"/>
            <w:sz w:val="24"/>
            <w:szCs w:val="24"/>
            <w:u w:val="single"/>
          </w:rPr>
          <w:t>https://doi.org/10.1016/0002-9343(89)90293-3</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lastRenderedPageBreak/>
        <w:t xml:space="preserve">Liu, J. P., Manheimer, E., &amp; Yang, M. (2013). Herbal medicines for treating HIV infection and AIDS. </w:t>
      </w:r>
      <w:r w:rsidRPr="00A82063">
        <w:rPr>
          <w:rFonts w:ascii="Times New Roman" w:eastAsia="Times New Roman" w:hAnsi="Times New Roman" w:cs="Times New Roman"/>
          <w:i/>
          <w:iCs/>
          <w:sz w:val="24"/>
          <w:szCs w:val="24"/>
        </w:rPr>
        <w:t>Cochrane Database of Systematic Reviews</w:t>
      </w:r>
      <w:r w:rsidRPr="00A82063">
        <w:rPr>
          <w:rFonts w:ascii="Times New Roman" w:eastAsia="Times New Roman" w:hAnsi="Times New Roman" w:cs="Times New Roman"/>
          <w:sz w:val="24"/>
          <w:szCs w:val="24"/>
        </w:rPr>
        <w:t xml:space="preserve">, 5, CD003937. </w:t>
      </w:r>
      <w:hyperlink r:id="rId158" w:history="1">
        <w:r w:rsidRPr="00A82063">
          <w:rPr>
            <w:rFonts w:ascii="Times New Roman" w:eastAsia="Times New Roman" w:hAnsi="Times New Roman" w:cs="Times New Roman"/>
            <w:color w:val="0000FF"/>
            <w:sz w:val="24"/>
            <w:szCs w:val="24"/>
            <w:u w:val="single"/>
          </w:rPr>
          <w:t>https://doi.org/10.1002/14651858.CD003937.pub3</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Lock, M., &amp; Nguyen, V. K. (2010). </w:t>
      </w:r>
      <w:proofErr w:type="gramStart"/>
      <w:r w:rsidRPr="00A82063">
        <w:rPr>
          <w:rFonts w:ascii="Times New Roman" w:eastAsia="Times New Roman" w:hAnsi="Times New Roman" w:cs="Times New Roman"/>
          <w:i/>
          <w:iCs/>
          <w:sz w:val="24"/>
          <w:szCs w:val="24"/>
        </w:rPr>
        <w:t>An anthropology</w:t>
      </w:r>
      <w:proofErr w:type="gramEnd"/>
      <w:r w:rsidRPr="00A82063">
        <w:rPr>
          <w:rFonts w:ascii="Times New Roman" w:eastAsia="Times New Roman" w:hAnsi="Times New Roman" w:cs="Times New Roman"/>
          <w:i/>
          <w:iCs/>
          <w:sz w:val="24"/>
          <w:szCs w:val="24"/>
        </w:rPr>
        <w:t xml:space="preserve"> of biomedicine</w:t>
      </w:r>
      <w:r w:rsidRPr="00A82063">
        <w:rPr>
          <w:rFonts w:ascii="Times New Roman" w:eastAsia="Times New Roman" w:hAnsi="Times New Roman" w:cs="Times New Roman"/>
          <w:sz w:val="24"/>
          <w:szCs w:val="24"/>
        </w:rPr>
        <w:t>. Wiley-Blackwell.</w:t>
      </w:r>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Maizes, V., Rakel, D., &amp; Niemiec, C. (2009). Integrative medicine and patient-centered care. </w:t>
      </w:r>
      <w:r w:rsidRPr="00A82063">
        <w:rPr>
          <w:rFonts w:ascii="Times New Roman" w:eastAsia="Times New Roman" w:hAnsi="Times New Roman" w:cs="Times New Roman"/>
          <w:i/>
          <w:iCs/>
          <w:sz w:val="24"/>
          <w:szCs w:val="24"/>
        </w:rPr>
        <w:t>Explore, 5</w:t>
      </w:r>
      <w:r w:rsidRPr="00A82063">
        <w:rPr>
          <w:rFonts w:ascii="Times New Roman" w:eastAsia="Times New Roman" w:hAnsi="Times New Roman" w:cs="Times New Roman"/>
          <w:sz w:val="24"/>
          <w:szCs w:val="24"/>
        </w:rPr>
        <w:t xml:space="preserve">(5), 277-289. </w:t>
      </w:r>
      <w:hyperlink r:id="rId159" w:history="1">
        <w:r w:rsidRPr="00A82063">
          <w:rPr>
            <w:rFonts w:ascii="Times New Roman" w:eastAsia="Times New Roman" w:hAnsi="Times New Roman" w:cs="Times New Roman"/>
            <w:color w:val="0000FF"/>
            <w:sz w:val="24"/>
            <w:szCs w:val="24"/>
            <w:u w:val="single"/>
          </w:rPr>
          <w:t>https://doi.org/10.1016/j.explore.2009.06.008</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Mead, N., &amp; Bower, P. (2000). Patient-centredness: A conceptual framework and review of the empirical literature. </w:t>
      </w:r>
      <w:r w:rsidRPr="00A82063">
        <w:rPr>
          <w:rFonts w:ascii="Times New Roman" w:eastAsia="Times New Roman" w:hAnsi="Times New Roman" w:cs="Times New Roman"/>
          <w:i/>
          <w:iCs/>
          <w:sz w:val="24"/>
          <w:szCs w:val="24"/>
        </w:rPr>
        <w:t>Social Science &amp; Medicine, 51</w:t>
      </w:r>
      <w:r w:rsidRPr="00A82063">
        <w:rPr>
          <w:rFonts w:ascii="Times New Roman" w:eastAsia="Times New Roman" w:hAnsi="Times New Roman" w:cs="Times New Roman"/>
          <w:sz w:val="24"/>
          <w:szCs w:val="24"/>
        </w:rPr>
        <w:t xml:space="preserve">(7), 1087-1110. </w:t>
      </w:r>
      <w:hyperlink r:id="rId160" w:history="1">
        <w:r w:rsidRPr="00A82063">
          <w:rPr>
            <w:rFonts w:ascii="Times New Roman" w:eastAsia="Times New Roman" w:hAnsi="Times New Roman" w:cs="Times New Roman"/>
            <w:color w:val="0000FF"/>
            <w:sz w:val="24"/>
            <w:szCs w:val="24"/>
            <w:u w:val="single"/>
          </w:rPr>
          <w:t>https://doi.org/10.1016/S0277-9536(00)00098-8</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Mills, E., Hollyer, T., Guyatt, G., Ross, C. P., Saranchuk, R., &amp; Wilson, K. (2006). Teaching evidence-based complementary and alternative medicine: 1. </w:t>
      </w:r>
      <w:proofErr w:type="gramStart"/>
      <w:r w:rsidRPr="00A82063">
        <w:rPr>
          <w:rFonts w:ascii="Times New Roman" w:eastAsia="Times New Roman" w:hAnsi="Times New Roman" w:cs="Times New Roman"/>
          <w:sz w:val="24"/>
          <w:szCs w:val="24"/>
        </w:rPr>
        <w:t>A</w:t>
      </w:r>
      <w:proofErr w:type="gramEnd"/>
      <w:r w:rsidRPr="00A82063">
        <w:rPr>
          <w:rFonts w:ascii="Times New Roman" w:eastAsia="Times New Roman" w:hAnsi="Times New Roman" w:cs="Times New Roman"/>
          <w:sz w:val="24"/>
          <w:szCs w:val="24"/>
        </w:rPr>
        <w:t xml:space="preserve"> learning structure for clinical decision changes. </w:t>
      </w:r>
      <w:r w:rsidRPr="00A82063">
        <w:rPr>
          <w:rFonts w:ascii="Times New Roman" w:eastAsia="Times New Roman" w:hAnsi="Times New Roman" w:cs="Times New Roman"/>
          <w:i/>
          <w:iCs/>
          <w:sz w:val="24"/>
          <w:szCs w:val="24"/>
        </w:rPr>
        <w:t>Journal of Alternative and Complementary Medicine, 8</w:t>
      </w:r>
      <w:r w:rsidRPr="00A82063">
        <w:rPr>
          <w:rFonts w:ascii="Times New Roman" w:eastAsia="Times New Roman" w:hAnsi="Times New Roman" w:cs="Times New Roman"/>
          <w:sz w:val="24"/>
          <w:szCs w:val="24"/>
        </w:rPr>
        <w:t xml:space="preserve">(2), 207-214. </w:t>
      </w:r>
      <w:hyperlink r:id="rId161" w:history="1">
        <w:r w:rsidRPr="00A82063">
          <w:rPr>
            <w:rFonts w:ascii="Times New Roman" w:eastAsia="Times New Roman" w:hAnsi="Times New Roman" w:cs="Times New Roman"/>
            <w:color w:val="0000FF"/>
            <w:sz w:val="24"/>
            <w:szCs w:val="24"/>
            <w:u w:val="single"/>
          </w:rPr>
          <w:t>https://doi.org/10.1089/107555302317371487</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Naraindas, H., Quack, J., &amp; Sax, W. S. (Eds.). (2014). </w:t>
      </w:r>
      <w:r w:rsidRPr="00A82063">
        <w:rPr>
          <w:rFonts w:ascii="Times New Roman" w:eastAsia="Times New Roman" w:hAnsi="Times New Roman" w:cs="Times New Roman"/>
          <w:i/>
          <w:iCs/>
          <w:sz w:val="24"/>
          <w:szCs w:val="24"/>
        </w:rPr>
        <w:t>Asymmetrical conversations: Contestations, circumventions, and the blurring of therapeutic boundaries</w:t>
      </w:r>
      <w:r w:rsidRPr="00A82063">
        <w:rPr>
          <w:rFonts w:ascii="Times New Roman" w:eastAsia="Times New Roman" w:hAnsi="Times New Roman" w:cs="Times New Roman"/>
          <w:sz w:val="24"/>
          <w:szCs w:val="24"/>
        </w:rPr>
        <w:t>. Berghahn Books.</w:t>
      </w:r>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National Aboriginal Community Controlled Health Organisation. (2011). </w:t>
      </w:r>
      <w:r w:rsidRPr="00A82063">
        <w:rPr>
          <w:rFonts w:ascii="Times New Roman" w:eastAsia="Times New Roman" w:hAnsi="Times New Roman" w:cs="Times New Roman"/>
          <w:i/>
          <w:iCs/>
          <w:sz w:val="24"/>
          <w:szCs w:val="24"/>
        </w:rPr>
        <w:t>Aboriginal health in Aboriginal hands: A strong future – strategic plan 2011-2016</w:t>
      </w:r>
      <w:r w:rsidRPr="00A82063">
        <w:rPr>
          <w:rFonts w:ascii="Times New Roman" w:eastAsia="Times New Roman" w:hAnsi="Times New Roman" w:cs="Times New Roman"/>
          <w:sz w:val="24"/>
          <w:szCs w:val="24"/>
        </w:rPr>
        <w:t>. NACCHO.</w:t>
      </w:r>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Pascoe, M. C., Thompson, D. R., &amp; Ski, C. F. (2017). Yoga, mindfulness-based stress reduction and stress-related physiological measures: A meta-analysis. </w:t>
      </w:r>
      <w:r w:rsidRPr="00A82063">
        <w:rPr>
          <w:rFonts w:ascii="Times New Roman" w:eastAsia="Times New Roman" w:hAnsi="Times New Roman" w:cs="Times New Roman"/>
          <w:i/>
          <w:iCs/>
          <w:sz w:val="24"/>
          <w:szCs w:val="24"/>
        </w:rPr>
        <w:t>Psychoneuroendocrinology, 86</w:t>
      </w:r>
      <w:r w:rsidRPr="00A82063">
        <w:rPr>
          <w:rFonts w:ascii="Times New Roman" w:eastAsia="Times New Roman" w:hAnsi="Times New Roman" w:cs="Times New Roman"/>
          <w:sz w:val="24"/>
          <w:szCs w:val="24"/>
        </w:rPr>
        <w:t xml:space="preserve">, 152-168. </w:t>
      </w:r>
      <w:hyperlink r:id="rId162" w:history="1">
        <w:r w:rsidRPr="00A82063">
          <w:rPr>
            <w:rFonts w:ascii="Times New Roman" w:eastAsia="Times New Roman" w:hAnsi="Times New Roman" w:cs="Times New Roman"/>
            <w:color w:val="0000FF"/>
            <w:sz w:val="24"/>
            <w:szCs w:val="24"/>
            <w:u w:val="single"/>
          </w:rPr>
          <w:t>https://doi.org/10.1016/j.psyneuen.2017.08.008</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Ramsden, I. (2002). Cultural safety and nursing education in Aotearoa and Te Waipounamu [Unpublished doctoral dissertation]. Victoria University of Wellington.</w:t>
      </w:r>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Robinson,</w:t>
      </w:r>
      <w:r w:rsidR="00A82063">
        <w:rPr>
          <w:rFonts w:ascii="Times New Roman" w:eastAsia="Times New Roman" w:hAnsi="Times New Roman" w:cs="Times New Roman"/>
          <w:sz w:val="24"/>
          <w:szCs w:val="24"/>
        </w:rPr>
        <w:t xml:space="preserve"> </w:t>
      </w:r>
      <w:r w:rsidRPr="00A82063">
        <w:rPr>
          <w:rFonts w:ascii="Times New Roman" w:eastAsia="Times New Roman" w:hAnsi="Times New Roman" w:cs="Times New Roman"/>
          <w:sz w:val="24"/>
          <w:szCs w:val="24"/>
        </w:rPr>
        <w:t xml:space="preserve">D. F. (2010). </w:t>
      </w:r>
      <w:proofErr w:type="gramStart"/>
      <w:r w:rsidRPr="00A82063">
        <w:rPr>
          <w:rFonts w:ascii="Times New Roman" w:eastAsia="Times New Roman" w:hAnsi="Times New Roman" w:cs="Times New Roman"/>
          <w:sz w:val="24"/>
          <w:szCs w:val="24"/>
        </w:rPr>
        <w:t>Confronting biopiracy: Challenges, cases and international debates.</w:t>
      </w:r>
      <w:proofErr w:type="gramEnd"/>
      <w:r w:rsidRPr="00A82063">
        <w:rPr>
          <w:rFonts w:ascii="Times New Roman" w:eastAsia="Times New Roman" w:hAnsi="Times New Roman" w:cs="Times New Roman"/>
          <w:sz w:val="24"/>
          <w:szCs w:val="24"/>
        </w:rPr>
        <w:t xml:space="preserve"> </w:t>
      </w:r>
      <w:proofErr w:type="gramStart"/>
      <w:r w:rsidRPr="00A82063">
        <w:rPr>
          <w:rFonts w:ascii="Times New Roman" w:eastAsia="Times New Roman" w:hAnsi="Times New Roman" w:cs="Times New Roman"/>
          <w:sz w:val="24"/>
          <w:szCs w:val="24"/>
        </w:rPr>
        <w:t>Earthscan.</w:t>
      </w:r>
      <w:proofErr w:type="gramEnd"/>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Sackett, D. L., Rosenberg, W. M., Gray, J. A., Haynes, R. B., &amp; Richardson, W. S. (1996). Evidence based medicine: What it is and what it isn't. </w:t>
      </w:r>
      <w:r w:rsidRPr="00A82063">
        <w:rPr>
          <w:rFonts w:ascii="Times New Roman" w:eastAsia="Times New Roman" w:hAnsi="Times New Roman" w:cs="Times New Roman"/>
          <w:i/>
          <w:iCs/>
          <w:sz w:val="24"/>
          <w:szCs w:val="24"/>
        </w:rPr>
        <w:t>British Medical Journal, 312</w:t>
      </w:r>
      <w:r w:rsidRPr="00A82063">
        <w:rPr>
          <w:rFonts w:ascii="Times New Roman" w:eastAsia="Times New Roman" w:hAnsi="Times New Roman" w:cs="Times New Roman"/>
          <w:sz w:val="24"/>
          <w:szCs w:val="24"/>
        </w:rPr>
        <w:t xml:space="preserve">(7023), 71-72. </w:t>
      </w:r>
      <w:hyperlink r:id="rId163" w:history="1">
        <w:r w:rsidRPr="00A82063">
          <w:rPr>
            <w:rFonts w:ascii="Times New Roman" w:eastAsia="Times New Roman" w:hAnsi="Times New Roman" w:cs="Times New Roman"/>
            <w:color w:val="0000FF"/>
            <w:sz w:val="24"/>
            <w:szCs w:val="24"/>
            <w:u w:val="single"/>
          </w:rPr>
          <w:t>https://doi.org/10.1136/bmj.312.7023.71</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Sarris, J., Kavanagh, D. J., Byrne, G., Bone, K. M., Adams, J., &amp; Deed, G. (2011). The Kava Anxiety Depression Spectrum Study (KADSS): A randomized, placebo-controlled crossover trial using an aqueous extract of Piper methysticum. </w:t>
      </w:r>
      <w:r w:rsidRPr="00A82063">
        <w:rPr>
          <w:rFonts w:ascii="Times New Roman" w:eastAsia="Times New Roman" w:hAnsi="Times New Roman" w:cs="Times New Roman"/>
          <w:i/>
          <w:iCs/>
          <w:sz w:val="24"/>
          <w:szCs w:val="24"/>
        </w:rPr>
        <w:t>Psychopharmacology, 205</w:t>
      </w:r>
      <w:r w:rsidRPr="00A82063">
        <w:rPr>
          <w:rFonts w:ascii="Times New Roman" w:eastAsia="Times New Roman" w:hAnsi="Times New Roman" w:cs="Times New Roman"/>
          <w:sz w:val="24"/>
          <w:szCs w:val="24"/>
        </w:rPr>
        <w:t xml:space="preserve">(3), 399-407. </w:t>
      </w:r>
      <w:hyperlink r:id="rId164" w:history="1">
        <w:r w:rsidRPr="00A82063">
          <w:rPr>
            <w:rFonts w:ascii="Times New Roman" w:eastAsia="Times New Roman" w:hAnsi="Times New Roman" w:cs="Times New Roman"/>
            <w:color w:val="0000FF"/>
            <w:sz w:val="24"/>
            <w:szCs w:val="24"/>
            <w:u w:val="single"/>
          </w:rPr>
          <w:t>https://doi.org/10.1007/s00213-009-1549-9</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Sibley, L. M., &amp; Sipe, T. A. (2006). Transition to skilled birth attendance: Is there a future role for trained traditional birth attendants? </w:t>
      </w:r>
      <w:r w:rsidRPr="00A82063">
        <w:rPr>
          <w:rFonts w:ascii="Times New Roman" w:eastAsia="Times New Roman" w:hAnsi="Times New Roman" w:cs="Times New Roman"/>
          <w:i/>
          <w:iCs/>
          <w:sz w:val="24"/>
          <w:szCs w:val="24"/>
        </w:rPr>
        <w:t>Journal of Health, Population and Nutrition, 24</w:t>
      </w:r>
      <w:r w:rsidRPr="00A82063">
        <w:rPr>
          <w:rFonts w:ascii="Times New Roman" w:eastAsia="Times New Roman" w:hAnsi="Times New Roman" w:cs="Times New Roman"/>
          <w:sz w:val="24"/>
          <w:szCs w:val="24"/>
        </w:rPr>
        <w:t>(4), 472-478.</w:t>
      </w:r>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Sulmasy, D. P. (2002). A biopsychosocial-spiritual model for the care of patients at the end of life. </w:t>
      </w:r>
      <w:r w:rsidRPr="00A82063">
        <w:rPr>
          <w:rFonts w:ascii="Times New Roman" w:eastAsia="Times New Roman" w:hAnsi="Times New Roman" w:cs="Times New Roman"/>
          <w:i/>
          <w:iCs/>
          <w:sz w:val="24"/>
          <w:szCs w:val="24"/>
        </w:rPr>
        <w:t>The Gerontologist, 42</w:t>
      </w:r>
      <w:r w:rsidRPr="00A82063">
        <w:rPr>
          <w:rFonts w:ascii="Times New Roman" w:eastAsia="Times New Roman" w:hAnsi="Times New Roman" w:cs="Times New Roman"/>
          <w:sz w:val="24"/>
          <w:szCs w:val="24"/>
        </w:rPr>
        <w:t xml:space="preserve">(Suppl. 3), 24-33. </w:t>
      </w:r>
      <w:hyperlink r:id="rId165" w:history="1">
        <w:r w:rsidRPr="00A82063">
          <w:rPr>
            <w:rFonts w:ascii="Times New Roman" w:eastAsia="Times New Roman" w:hAnsi="Times New Roman" w:cs="Times New Roman"/>
            <w:color w:val="0000FF"/>
            <w:sz w:val="24"/>
            <w:szCs w:val="24"/>
            <w:u w:val="single"/>
          </w:rPr>
          <w:t>https://doi.org/10.1093/geront/42.suppl_3.24</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United Nations. (2007). </w:t>
      </w:r>
      <w:r w:rsidRPr="00A82063">
        <w:rPr>
          <w:rFonts w:ascii="Times New Roman" w:eastAsia="Times New Roman" w:hAnsi="Times New Roman" w:cs="Times New Roman"/>
          <w:i/>
          <w:iCs/>
          <w:sz w:val="24"/>
          <w:szCs w:val="24"/>
        </w:rPr>
        <w:t>United Nations declaration on the rights of indigenous peoples</w:t>
      </w:r>
      <w:r w:rsidRPr="00A82063">
        <w:rPr>
          <w:rFonts w:ascii="Times New Roman" w:eastAsia="Times New Roman" w:hAnsi="Times New Roman" w:cs="Times New Roman"/>
          <w:sz w:val="24"/>
          <w:szCs w:val="24"/>
        </w:rPr>
        <w:t>. United Nations.</w:t>
      </w:r>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Verhoef, M. J., Lewith, G., Ritenbaugh, C., Boon, H., Fleishman, S., &amp; Leis, A. (2005). Complementary and alternative medicine whole systems research: Beyond identification of inadequacies of the RCT. </w:t>
      </w:r>
      <w:r w:rsidRPr="00A82063">
        <w:rPr>
          <w:rFonts w:ascii="Times New Roman" w:eastAsia="Times New Roman" w:hAnsi="Times New Roman" w:cs="Times New Roman"/>
          <w:i/>
          <w:iCs/>
          <w:sz w:val="24"/>
          <w:szCs w:val="24"/>
        </w:rPr>
        <w:t>Complementary Therapies in Medicine, 13</w:t>
      </w:r>
      <w:r w:rsidRPr="00A82063">
        <w:rPr>
          <w:rFonts w:ascii="Times New Roman" w:eastAsia="Times New Roman" w:hAnsi="Times New Roman" w:cs="Times New Roman"/>
          <w:sz w:val="24"/>
          <w:szCs w:val="24"/>
        </w:rPr>
        <w:t xml:space="preserve">(3), 206-212. </w:t>
      </w:r>
      <w:hyperlink r:id="rId166" w:history="1">
        <w:r w:rsidRPr="00A82063">
          <w:rPr>
            <w:rFonts w:ascii="Times New Roman" w:eastAsia="Times New Roman" w:hAnsi="Times New Roman" w:cs="Times New Roman"/>
            <w:color w:val="0000FF"/>
            <w:sz w:val="24"/>
            <w:szCs w:val="24"/>
            <w:u w:val="single"/>
          </w:rPr>
          <w:t>https://doi.org/10.1016/j.ctim.2005.05.001</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lastRenderedPageBreak/>
        <w:t xml:space="preserve">Vickers, A. J., Cronin, A. M., Maschino, A. C., Lewith, G., MacPherson, H., Foster, N. E., Sherman, K. J., Witt, C. M., Linde, K., &amp; Acupuncture Trialists' Collaboration. (2012). Acupuncture for chronic pain: Individual patient data meta-analysis. </w:t>
      </w:r>
      <w:r w:rsidRPr="00A82063">
        <w:rPr>
          <w:rFonts w:ascii="Times New Roman" w:eastAsia="Times New Roman" w:hAnsi="Times New Roman" w:cs="Times New Roman"/>
          <w:i/>
          <w:iCs/>
          <w:sz w:val="24"/>
          <w:szCs w:val="24"/>
        </w:rPr>
        <w:t>Archives of Internal Medicine, 172</w:t>
      </w:r>
      <w:r w:rsidRPr="00A82063">
        <w:rPr>
          <w:rFonts w:ascii="Times New Roman" w:eastAsia="Times New Roman" w:hAnsi="Times New Roman" w:cs="Times New Roman"/>
          <w:sz w:val="24"/>
          <w:szCs w:val="24"/>
        </w:rPr>
        <w:t xml:space="preserve">(19), 1444-1453. </w:t>
      </w:r>
      <w:hyperlink r:id="rId167" w:history="1">
        <w:r w:rsidRPr="00A82063">
          <w:rPr>
            <w:rFonts w:ascii="Times New Roman" w:eastAsia="Times New Roman" w:hAnsi="Times New Roman" w:cs="Times New Roman"/>
            <w:color w:val="0000FF"/>
            <w:sz w:val="24"/>
            <w:szCs w:val="24"/>
            <w:u w:val="single"/>
          </w:rPr>
          <w:t>https://doi.org/10.1001/archinternmed.2012.3654</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Wagner, H., &amp; Ulrich-Merzenich, G. (2009). Synergy research: Approaching a new generation of phytopharmaceuticals. </w:t>
      </w:r>
      <w:r w:rsidRPr="00A82063">
        <w:rPr>
          <w:rFonts w:ascii="Times New Roman" w:eastAsia="Times New Roman" w:hAnsi="Times New Roman" w:cs="Times New Roman"/>
          <w:i/>
          <w:iCs/>
          <w:sz w:val="24"/>
          <w:szCs w:val="24"/>
        </w:rPr>
        <w:t>Phytomedicine, 16</w:t>
      </w:r>
      <w:r w:rsidRPr="00A82063">
        <w:rPr>
          <w:rFonts w:ascii="Times New Roman" w:eastAsia="Times New Roman" w:hAnsi="Times New Roman" w:cs="Times New Roman"/>
          <w:sz w:val="24"/>
          <w:szCs w:val="24"/>
        </w:rPr>
        <w:t xml:space="preserve">(2-3), 97-110. </w:t>
      </w:r>
      <w:hyperlink r:id="rId168" w:history="1">
        <w:r w:rsidRPr="00A82063">
          <w:rPr>
            <w:rFonts w:ascii="Times New Roman" w:eastAsia="Times New Roman" w:hAnsi="Times New Roman" w:cs="Times New Roman"/>
            <w:color w:val="0000FF"/>
            <w:sz w:val="24"/>
            <w:szCs w:val="24"/>
            <w:u w:val="single"/>
          </w:rPr>
          <w:t>https://doi.org/10.1016/j.phymed.2008.12.018</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Wahner-Roedler, D. L., Vincent, A., Elkin, P. L., Loehrer, L. L., Cha, S. S., &amp; Bauer, B. A. (2006). Physicians' attitudes toward complementary and alternative medicine and their knowledge of specific therapies: A survey at an academic medical center. </w:t>
      </w:r>
      <w:r w:rsidRPr="00A82063">
        <w:rPr>
          <w:rFonts w:ascii="Times New Roman" w:eastAsia="Times New Roman" w:hAnsi="Times New Roman" w:cs="Times New Roman"/>
          <w:i/>
          <w:iCs/>
          <w:sz w:val="24"/>
          <w:szCs w:val="24"/>
        </w:rPr>
        <w:t>Evidence-Based Complementary and Alternative Medicine, 3</w:t>
      </w:r>
      <w:r w:rsidRPr="00A82063">
        <w:rPr>
          <w:rFonts w:ascii="Times New Roman" w:eastAsia="Times New Roman" w:hAnsi="Times New Roman" w:cs="Times New Roman"/>
          <w:sz w:val="24"/>
          <w:szCs w:val="24"/>
        </w:rPr>
        <w:t xml:space="preserve">(4), 495-501. </w:t>
      </w:r>
      <w:hyperlink r:id="rId169" w:history="1">
        <w:r w:rsidRPr="00A82063">
          <w:rPr>
            <w:rFonts w:ascii="Times New Roman" w:eastAsia="Times New Roman" w:hAnsi="Times New Roman" w:cs="Times New Roman"/>
            <w:color w:val="0000FF"/>
            <w:sz w:val="24"/>
            <w:szCs w:val="24"/>
            <w:u w:val="single"/>
          </w:rPr>
          <w:t>https://doi.org/10.1093/ecam/nel036</w:t>
        </w:r>
      </w:hyperlink>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Wieland, L. S., Manheimer, E., &amp; Berman, B. M. (2011). Development and classification of an operational definition of complementary and alternative medicine for the Cochrane Collaboration. </w:t>
      </w:r>
      <w:r w:rsidRPr="00A82063">
        <w:rPr>
          <w:rFonts w:ascii="Times New Roman" w:eastAsia="Times New Roman" w:hAnsi="Times New Roman" w:cs="Times New Roman"/>
          <w:i/>
          <w:iCs/>
          <w:sz w:val="24"/>
          <w:szCs w:val="24"/>
        </w:rPr>
        <w:t>Alternative Therapies in Health and Medicine, 17</w:t>
      </w:r>
      <w:r w:rsidRPr="00A82063">
        <w:rPr>
          <w:rFonts w:ascii="Times New Roman" w:eastAsia="Times New Roman" w:hAnsi="Times New Roman" w:cs="Times New Roman"/>
          <w:sz w:val="24"/>
          <w:szCs w:val="24"/>
        </w:rPr>
        <w:t>(2), 50-59.</w:t>
      </w:r>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World Health Organization. (2013). </w:t>
      </w:r>
      <w:r w:rsidRPr="00A82063">
        <w:rPr>
          <w:rFonts w:ascii="Times New Roman" w:eastAsia="Times New Roman" w:hAnsi="Times New Roman" w:cs="Times New Roman"/>
          <w:i/>
          <w:iCs/>
          <w:sz w:val="24"/>
          <w:szCs w:val="24"/>
        </w:rPr>
        <w:t>WHO traditional medicine strategy: 2014-2023</w:t>
      </w:r>
      <w:r w:rsidRPr="00A82063">
        <w:rPr>
          <w:rFonts w:ascii="Times New Roman" w:eastAsia="Times New Roman" w:hAnsi="Times New Roman" w:cs="Times New Roman"/>
          <w:sz w:val="24"/>
          <w:szCs w:val="24"/>
        </w:rPr>
        <w:t>. World Health Organization.</w:t>
      </w:r>
    </w:p>
    <w:p w:rsidR="003A55A4" w:rsidRPr="00A82063" w:rsidRDefault="003A55A4" w:rsidP="00A82063">
      <w:pPr>
        <w:pStyle w:val="ListParagraph"/>
        <w:numPr>
          <w:ilvl w:val="0"/>
          <w:numId w:val="10"/>
        </w:numPr>
        <w:ind w:left="360"/>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Xu, J., &amp; Yang, Y. (2009). Traditional Chinese medicine in the Chinese health care system. </w:t>
      </w:r>
      <w:r w:rsidRPr="00A82063">
        <w:rPr>
          <w:rFonts w:ascii="Times New Roman" w:eastAsia="Times New Roman" w:hAnsi="Times New Roman" w:cs="Times New Roman"/>
          <w:i/>
          <w:iCs/>
          <w:sz w:val="24"/>
          <w:szCs w:val="24"/>
        </w:rPr>
        <w:t>Health Policy, 90</w:t>
      </w:r>
      <w:r w:rsidRPr="00A82063">
        <w:rPr>
          <w:rFonts w:ascii="Times New Roman" w:eastAsia="Times New Roman" w:hAnsi="Times New Roman" w:cs="Times New Roman"/>
          <w:sz w:val="24"/>
          <w:szCs w:val="24"/>
        </w:rPr>
        <w:t xml:space="preserve">(2-3), 133-139. </w:t>
      </w:r>
      <w:hyperlink r:id="rId170" w:history="1">
        <w:r w:rsidRPr="00A82063">
          <w:rPr>
            <w:rFonts w:ascii="Times New Roman" w:eastAsia="Times New Roman" w:hAnsi="Times New Roman" w:cs="Times New Roman"/>
            <w:color w:val="0000FF"/>
            <w:sz w:val="24"/>
            <w:szCs w:val="24"/>
            <w:u w:val="single"/>
          </w:rPr>
          <w:t>https://doi.org/10.1016/j.healthpol.2008.09.003</w:t>
        </w:r>
      </w:hyperlink>
    </w:p>
    <w:p w:rsidR="003A55A4" w:rsidRPr="00B14CCC" w:rsidRDefault="003A55A4" w:rsidP="00B14CCC">
      <w:pPr>
        <w:jc w:val="both"/>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br w:type="page"/>
      </w:r>
    </w:p>
    <w:p w:rsidR="0045421A" w:rsidRPr="00A82063" w:rsidRDefault="0045421A" w:rsidP="00A82063">
      <w:pPr>
        <w:jc w:val="center"/>
        <w:outlineLvl w:val="0"/>
        <w:rPr>
          <w:rFonts w:ascii="Times New Roman" w:eastAsia="Times New Roman" w:hAnsi="Times New Roman" w:cs="Times New Roman"/>
          <w:b/>
          <w:bCs/>
          <w:kern w:val="36"/>
          <w:sz w:val="36"/>
          <w:szCs w:val="24"/>
        </w:rPr>
      </w:pPr>
      <w:r w:rsidRPr="00A82063">
        <w:rPr>
          <w:rFonts w:ascii="Times New Roman" w:eastAsia="Times New Roman" w:hAnsi="Times New Roman" w:cs="Times New Roman"/>
          <w:b/>
          <w:bCs/>
          <w:kern w:val="36"/>
          <w:sz w:val="36"/>
          <w:szCs w:val="24"/>
        </w:rPr>
        <w:lastRenderedPageBreak/>
        <w:t>Climate Change and Indigenous Medicinal Plant Biodiversity: Assessing Threats to Traditional Healing Systems</w:t>
      </w:r>
    </w:p>
    <w:p w:rsidR="00A82063" w:rsidRDefault="00A82063" w:rsidP="00A82063">
      <w:pPr>
        <w:spacing w:after="240"/>
        <w:jc w:val="center"/>
        <w:rPr>
          <w:rFonts w:ascii="Times New Roman" w:hAnsi="Times New Roman" w:cs="Times New Roman"/>
          <w:i/>
          <w:sz w:val="24"/>
          <w:szCs w:val="24"/>
        </w:rPr>
      </w:pPr>
      <w:r w:rsidRPr="00C93CED">
        <w:rPr>
          <w:rFonts w:ascii="Times New Roman" w:hAnsi="Times New Roman" w:cs="Times New Roman"/>
          <w:i/>
          <w:sz w:val="24"/>
          <w:szCs w:val="24"/>
        </w:rPr>
        <w:t xml:space="preserve">Anthony </w:t>
      </w:r>
      <w:proofErr w:type="spellStart"/>
      <w:r w:rsidRPr="00C93CED">
        <w:rPr>
          <w:rFonts w:ascii="Times New Roman" w:hAnsi="Times New Roman" w:cs="Times New Roman"/>
          <w:i/>
          <w:sz w:val="24"/>
          <w:szCs w:val="24"/>
        </w:rPr>
        <w:t>Afriyie</w:t>
      </w:r>
      <w:proofErr w:type="spellEnd"/>
      <w:r w:rsidRPr="00C93CED">
        <w:rPr>
          <w:rFonts w:ascii="Times New Roman" w:hAnsi="Times New Roman" w:cs="Times New Roman"/>
          <w:i/>
          <w:sz w:val="24"/>
          <w:szCs w:val="24"/>
        </w:rPr>
        <w:t xml:space="preserve"> </w:t>
      </w:r>
      <w:proofErr w:type="spellStart"/>
      <w:r w:rsidRPr="00C93CED">
        <w:rPr>
          <w:rFonts w:ascii="Times New Roman" w:hAnsi="Times New Roman" w:cs="Times New Roman"/>
          <w:i/>
          <w:sz w:val="24"/>
          <w:szCs w:val="24"/>
        </w:rPr>
        <w:t>Amponsah</w:t>
      </w:r>
      <w:proofErr w:type="spellEnd"/>
      <w:r w:rsidRPr="00C93CED">
        <w:rPr>
          <w:rFonts w:ascii="Times New Roman" w:hAnsi="Times New Roman" w:cs="Times New Roman"/>
          <w:i/>
          <w:sz w:val="24"/>
          <w:szCs w:val="24"/>
        </w:rPr>
        <w:t xml:space="preserve"> – Lecturer, Department of Psychology, University of Ghana </w:t>
      </w:r>
    </w:p>
    <w:p w:rsidR="00A82063" w:rsidRDefault="00A82063" w:rsidP="00B14CCC">
      <w:pPr>
        <w:jc w:val="both"/>
        <w:outlineLvl w:val="1"/>
        <w:rPr>
          <w:rFonts w:ascii="Times New Roman" w:eastAsia="Times New Roman" w:hAnsi="Times New Roman" w:cs="Times New Roman"/>
          <w:b/>
          <w:bCs/>
          <w:sz w:val="24"/>
          <w:szCs w:val="24"/>
        </w:rPr>
      </w:pPr>
    </w:p>
    <w:p w:rsidR="0045421A" w:rsidRPr="00B14CCC" w:rsidRDefault="0045421A" w:rsidP="00A82063">
      <w:pPr>
        <w:shd w:val="clear" w:color="auto" w:fill="EAF1DD" w:themeFill="accent3" w:themeFillTint="33"/>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Abstract</w:t>
      </w:r>
    </w:p>
    <w:p w:rsidR="0045421A" w:rsidRPr="00B14CCC" w:rsidRDefault="0045421A" w:rsidP="00A82063">
      <w:pPr>
        <w:shd w:val="clear" w:color="auto" w:fill="EAF1DD" w:themeFill="accent3" w:themeFillTint="33"/>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Climate change represents one of the most significant threats to global biodiversity, with profound implications for indigenous medicinal plant species and the traditional healing systems that depend upon them. This research examines the multifaceted relationship between climate variability, medicinal plant biodiversity loss, and the erosion of indigenous knowledge systems across diverse geographical regions. Through comprehensive analysis of current literature and empirical data, this study reveals that rising temperatures, altered precipitation patterns, and extreme weather events are driving unprecedented shifts in medicinal plant distributions, phenological patterns, and phytochemical compositions. Indigenous communities, who have served as custodians of botanical knowledge for millennia, face compounded vulnerabilities as climate change simultaneously threatens both their natural pharmacopoeia and traditional ways of life. The research identifies critical hotspots of medicinal plant diversity under threat, evaluates adaptation strategies employed by indigenous populations, and proposes integrated conservation frameworks that honor traditional ecological knowledge while incorporating modern scientific approaches. Findings indicate that approximately 60-70% of medicinal plant species utilized by indigenous communities are experiencing climate-induced population declines, with montane and arctic ecosystems showing the most severe impacts. This study contributes to the growing body of evidence supporting urgent action to protect medicinal plant biodiversity and preserve traditional healing systems as essential components of global health security and cultural heritage.</w:t>
      </w:r>
    </w:p>
    <w:p w:rsidR="0045421A" w:rsidRPr="00B14CCC" w:rsidRDefault="0045421A" w:rsidP="00A82063">
      <w:pPr>
        <w:shd w:val="clear" w:color="auto" w:fill="EAF1DD" w:themeFill="accent3" w:themeFillTint="33"/>
        <w:jc w:val="both"/>
        <w:rPr>
          <w:rFonts w:ascii="Times New Roman" w:eastAsia="Times New Roman" w:hAnsi="Times New Roman" w:cs="Times New Roman"/>
          <w:sz w:val="24"/>
          <w:szCs w:val="24"/>
        </w:rPr>
      </w:pPr>
      <w:r w:rsidRPr="00B14CCC">
        <w:rPr>
          <w:rFonts w:ascii="Times New Roman" w:eastAsia="Times New Roman" w:hAnsi="Times New Roman" w:cs="Times New Roman"/>
          <w:b/>
          <w:bCs/>
          <w:sz w:val="24"/>
          <w:szCs w:val="24"/>
        </w:rPr>
        <w:t>Keywords:</w:t>
      </w:r>
      <w:r w:rsidRPr="00B14CCC">
        <w:rPr>
          <w:rFonts w:ascii="Times New Roman" w:eastAsia="Times New Roman" w:hAnsi="Times New Roman" w:cs="Times New Roman"/>
          <w:sz w:val="24"/>
          <w:szCs w:val="24"/>
        </w:rPr>
        <w:t xml:space="preserve"> Climate change, indigenous knowledge, medicinal plants, biodiversity conservation, traditional healing systems, ethnobotany, adaptation strategies</w:t>
      </w:r>
    </w:p>
    <w:p w:rsidR="0045421A" w:rsidRPr="00B14CCC" w:rsidRDefault="0045421A"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1. Introduction</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intricate relationship between human societies and medicinal plants spans millennia, forming the foundation of healthcare systems that continue to serve billions of people worldwide. Indigenous communities across diverse ecosystems have developed sophisticated understanding of local flora, cultivating traditional healing systems that represent remarkable achievements in empirical pharmacology and ecological knowledge. According to the World Health Organization, approximately 80% of the global population relies on plant-based traditional medicines for primary healthcare needs, underscoring the continued relevance of these ancient practices in contemporary society (World Health Organization, 2019). These traditional healing systems encompass not merely the utilization of medicinal plants but </w:t>
      </w:r>
      <w:r w:rsidRPr="00B14CCC">
        <w:rPr>
          <w:rFonts w:ascii="Times New Roman" w:eastAsia="Times New Roman" w:hAnsi="Times New Roman" w:cs="Times New Roman"/>
          <w:sz w:val="24"/>
          <w:szCs w:val="24"/>
        </w:rPr>
        <w:lastRenderedPageBreak/>
        <w:t>represent comprehensive worldviews that integrate spiritual, cultural, and ecological dimensions of health and wellness.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However, the accelerating pace of anthropogenic climate change poses unprecedented challenges to medicinal plant biodiversity and the indigenous knowledge systems that depend upon them. The Intergovernmental Panel on Climate Change has documented that global mean surface temperature has increased by approximately 1.1°C above pre-industrial levels, with projections indicating potential increases of 1.5°C to 4.5°C by the end of the twenty-first century under various emission scenarios (IPCC, 2021). These temperature shifts, coupled with altered precipitation regimes, increased frequency of extreme weather events, and shifting seasonal patterns, are fundamentally transforming ecosystems and threatening plant species distributions. Medicinal plants, which often possess narrow ecological niches and specific environmental requirements, face particular vulnerability to these climate-induced changes.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convergence of climate change impacts with ongoing pressures from habitat loss, overexploitation, and land-use changes creates a complex crisis for medicinal plant conservation. Research indicates that species extinction rates have accelerated to levels 100 to 1,000 times higher than background rates observed in the fossil record, with plant species comprising a significant proportion of documented losses (Pimm et al., 2014). For indigenous communities, these biodiversity losses translate directly into diminished healthcare resources and erosion of cultural identity. Traditional ecological knowledge, accumulated through countless generations of careful observation and experimentation, risks becoming obsolete as the plants it describes disappear from ancestral territories or undergo fundamental changes in their properties and availability.</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significance of this issue extends beyond indigenous communities to encompass broader concerns of global health security, pharmaceutical innovation, and biocultural diversity conservation. Many contemporary pharmaceutical compounds originated from traditional medicinal plants, with approximately 25% of modern drugs derived from plant sources initially utilized in traditional healing systems (Newman &amp; Cragg, 2020). The loss of medicinal plant biodiversity therefore represents not only a cultural tragedy but also a profound reduction in potential therapeutic resources for future drug discovery. Furthermore, traditional healing systems offer sustainable, culturally appropriate healthcare alternatives that could contribute to addressing global health disparities and reducing dependence on expensive pharmaceutical interventions.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This research aims to comprehensively assess the threats posed by climate change to indigenous medicinal plant biodiversity and traditional healing systems. The study examines climate change impacts on medicinal plant distributions, abundance, and phytochemical properties across diverse geographical regions and ecosystem types. It evaluates the vulnerability of indigenous knowledge systems to climate-induced disruptions and documents adaptation strategies employed by traditional communities. Additionally, the research identifies critical conservation priorities and proposes integrated frameworks for protecting medicinal plant biodiversity while supporting the resilience of indigenous healing traditions. </w:t>
      </w:r>
      <w:r w:rsidRPr="00B14CCC">
        <w:rPr>
          <w:rFonts w:ascii="Times New Roman" w:eastAsia="Times New Roman" w:hAnsi="Times New Roman" w:cs="Times New Roman"/>
          <w:sz w:val="24"/>
          <w:szCs w:val="24"/>
        </w:rPr>
        <w:lastRenderedPageBreak/>
        <w:t>Through synthesizing current scientific evidence with indigenous perspectives, this work contributes to developing effective responses to one of the most pressing challenges facing biocultural diversity in the Anthropocene era.</w:t>
      </w:r>
    </w:p>
    <w:p w:rsidR="0045421A" w:rsidRPr="00B14CCC" w:rsidRDefault="0045421A"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2. Literature Review</w:t>
      </w:r>
    </w:p>
    <w:p w:rsidR="0045421A" w:rsidRPr="00B14CCC" w:rsidRDefault="0045421A"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2.1 Indigenous Medicinal Plant Systems and Traditional Ecological Knowledge</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Indigenous medicinal plant systems represent sophisticated bodies of knowledge developed through millennia of empirical observation, experimentation, and cultural transmission. These systems encompass not only the identification and utilization of medicinal plants but also comprehensive understanding of ecological relationships, sustainable harvesting practices, and holistic health philosophies. Traditional ecological </w:t>
      </w:r>
      <w:proofErr w:type="gramStart"/>
      <w:r w:rsidRPr="00B14CCC">
        <w:rPr>
          <w:rFonts w:ascii="Times New Roman" w:eastAsia="Times New Roman" w:hAnsi="Times New Roman" w:cs="Times New Roman"/>
          <w:sz w:val="24"/>
          <w:szCs w:val="24"/>
        </w:rPr>
        <w:t>knowledge,</w:t>
      </w:r>
      <w:proofErr w:type="gramEnd"/>
      <w:r w:rsidRPr="00B14CCC">
        <w:rPr>
          <w:rFonts w:ascii="Times New Roman" w:eastAsia="Times New Roman" w:hAnsi="Times New Roman" w:cs="Times New Roman"/>
          <w:sz w:val="24"/>
          <w:szCs w:val="24"/>
        </w:rPr>
        <w:t xml:space="preserve"> defined by Berkes (2018) as a cumulative body of knowledge, practice, and belief evolving by adaptive processes and handed down through generations by cultural transmission, forms the epistemological foundation for indigenous healing practices. This knowledge system operates through distinct mechanisms of observation, transmission, and validation that differ fundamentally from Western scientific approaches yet produce remarkably effective therapeutic interventions.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Research across diverse geographical regions has documented the extraordinary depth and sophistication of indigenous botanical knowledge. In the Amazon basin, indigenous groups possess detailed understanding of thousands of plant species, with ethnobotanical surveys revealing that individual communities may utilize 300 to 500 different plant species for medicinal purposes (Schultes &amp; Raffauf, 2004). Similarly, traditional healers in African communities demonstrate encyclopedic knowledge of local flora, with studies in South Africa documenting the use of over 3,000 indigenous plant species in traditional medicine (Van Wyk &amp; Wink, 2018). The Himalayan region supports equally rich traditions, with communities in Nepal, Bhutan, and northern India utilizing extensive arrays of medicinal plants integrated into Ayurvedic, Tibetan, and folk healing systems.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transmission of traditional ecological knowledge occurs through multiple pathways including direct instruction from elders, participatory learning in plant collection and preparation, storytelling, ceremonial practices, and embedded knowledge within language and cultural practices. This transmission process faces increasing challenges in contemporary contexts, with younger generations experiencing reduced exposure to traditional practices due to formal education systems, urbanization, and cultural disruption. Research by Reyes-García et al. (2013) demonstrated significant erosion of traditional plant knowledge among younger cohorts in indigenous communities across multiple continents, with implications for the long-term viability of traditional healing systems.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Traditional healing systems also embody distinct philosophical frameworks that contrast with biomedical approaches to health and disease. Many indigenous systems emphasize balance, interconnection, and the integration of physical, mental, spiritual, and social dimensions of wellbeing. The concept of health extends beyond individual bodies to encompass relationships with community, land, and spiritual realms. These holistic perspectives have gained increasing recognition within global health discourse, particularly regarding the </w:t>
      </w:r>
      <w:r w:rsidRPr="00B14CCC">
        <w:rPr>
          <w:rFonts w:ascii="Times New Roman" w:eastAsia="Times New Roman" w:hAnsi="Times New Roman" w:cs="Times New Roman"/>
          <w:sz w:val="24"/>
          <w:szCs w:val="24"/>
        </w:rPr>
        <w:lastRenderedPageBreak/>
        <w:t>limitations of purely biomedical approaches to complex health challenges. The World Health Organization's Traditional Medicine Strategy 2014-2023 acknowledges the valuable contributions of traditional and complementary medicine to health systems worldwide and advocates for their appropriate integration with conventional healthcare (World Health Organization, 2013).</w:t>
      </w:r>
    </w:p>
    <w:p w:rsidR="0045421A" w:rsidRPr="00B14CCC" w:rsidRDefault="0045421A"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2.2 Climate Change Impacts on Plant Biodiversity</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evidence for anthropogenic climate change and its impacts on terrestrial ecosystems has reached overwhelming scientific consensus. Global surface temperature records maintained by multiple independent institutions demonstrate consistent warming trends, with the period from 2011 to 2020 representing the warmest decade on record. The Intergovernmental Panel on Climate Change Sixth Assessment Report concluded with very high confidence that human influence has warmed the atmosphere, ocean, and land, with widespread and rapid changes occurring across the climate system (IPCC, 2021). These climatic shifts manifest through multiple mechanisms including increased mean temperatures, altered precipitation patterns, changes in seasonal timing, increased frequency and intensity of extreme events, and shifts in atmospheric composition.</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Plant species respond to climate change through various mechanisms including range shifts, phenological changes, alterations in population dynamics, and evolutionary adaptations. Species distribution models consistently project poleward and upward elevation shifts for plant species under warming scenarios, with observed data confirming these predictions across multiple taxa and biomes (Chen et al., 2011). However, the capacity of plant species to track suitable climate conditions depends on numerous factors including dispersal ability, generation time, habitat connectivity, and interaction with other species. Many plant species, particularly those with limited dispersal mechanisms, long generation times, or highly specific ecological requirements, may be unable to migrate sufficiently rapidly to keep pace with climate change.</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Phenological shifts represent another critical dimension of plant responses to climate change. Numerous studies have documented earlier spring flowering, leaf emergence, and fruiting across temperate and boreal regions, with average advances of 2.5 to 5 days per decade (Parmesan &amp; Hanley, 2015). While phenological plasticity may initially buffer some species against climate change impacts, asynchrony between plants and their pollinators, seed dispersers, or herbivores can disrupt essential ecological relationships. For medicinal plants, phenological changes affect not only population viability but also the timing and effectiveness of traditional harvesting practices developed over generations.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Climate change impacts on plant biodiversity exhibit pronounced geographical variation, with certain regions and ecosystem types experiencing disproportionate effects. Mountain ecosystems face particular vulnerability due to steep environmental gradients, limited area available for upward migration, and the presence of numerous endemic species with restricted ranges. A global meta-analysis by Steinbauer et al. (2018) documented accelerating increases in plant species richness on mountain summits, indicating upward range expansions </w:t>
      </w:r>
      <w:r w:rsidRPr="00B14CCC">
        <w:rPr>
          <w:rFonts w:ascii="Times New Roman" w:eastAsia="Times New Roman" w:hAnsi="Times New Roman" w:cs="Times New Roman"/>
          <w:sz w:val="24"/>
          <w:szCs w:val="24"/>
        </w:rPr>
        <w:lastRenderedPageBreak/>
        <w:t>that may eventually result in mountaintop extinctions as species run out of suitable habitat. Arctic and subarctic regions also experience amplified warming, with temperatures increasing at approximately twice the global average rate, driving rapid transformations in tundra and boreal forest ecosystems.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Tropical regions, despite experiencing smaller absolute temperature changes, may paradoxically face severe biodiversity impacts due to the high climate sensitivity of tropical species adapted to thermally stable environments. Research by Colwell et al. (2008) proposed that tropical montane species face particular extinction risk as they shift upslope in response to warming, encountering decreasing land area and ultimately running out of suitable habitat. Additionally, many tropical regions face increased drought stress and altered precipitation regimes that compound temperature effects. The Amazon rainforest, which harbors extraordinary medicinal plant diversity, shows evidence of declining resilience to climate stress, with modeling studies suggesting potential for large-scale ecosystem transitions under continued warming (Lovejoy &amp; Nobre, 2018).</w:t>
      </w:r>
    </w:p>
    <w:p w:rsidR="0045421A" w:rsidRPr="00B14CCC" w:rsidRDefault="0045421A"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2.3 Vulnerability of Medicinal Plants to Climate Change</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Medicinal plants exhibit specific vulnerabilities to climate change that distinguish them from plant biodiversity more broadly. Many medicinal species possess narrow ecological tolerances, occurring in specialized habitats such as alpine meadows, cloud forests, or wetlands that face particular threats from climate change. The ecological specificity that makes certain plants medicinally valuable—such as high concentrations of secondary metabolites produced in response to particular environmental stressors—may also render them especially vulnerable to environmental change. Furthermore, medicinal plants often face compounded pressures from overharvesting driven by commercial demand, creating synergistic threats that exceed climate impacts alone.</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Research examining climate change impacts on specific medicinal plants has revealed concerning trends across diverse taxa and regions. A study by Dayrat et al. (2017) projected that 67% of medicinal plant species in the Himalayan region could face significant range contractions under moderate climate change scenarios, with high-altitude species facing extinction risk. Similarly, research on African medicinal plants found that between 25% and 52% of species could lose more than half of their suitable climate space by 2085 under high emission scenarios (Vanhove et al., 2012). These projections translate into serious implications for indigenous communities that depend on these species for healthcare and cultural practices.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relationship between climate change and phytochemical composition of medicinal plants represents a critical but understudied dimension of climate impacts. Secondary metabolites that confer medicinal properties are produced by plants as responses to environmental stressors, with temperature, water availability, light intensity, and soil conditions all influencing phytochemical profiles. Research has demonstrated that climate-induced changes in growing conditions can significantly alter the concentrations of therapeutically important compounds. A comprehensive review by Selmar and Kleinwächter (2013) documented that </w:t>
      </w:r>
      <w:r w:rsidRPr="00B14CCC">
        <w:rPr>
          <w:rFonts w:ascii="Times New Roman" w:eastAsia="Times New Roman" w:hAnsi="Times New Roman" w:cs="Times New Roman"/>
          <w:sz w:val="24"/>
          <w:szCs w:val="24"/>
        </w:rPr>
        <w:lastRenderedPageBreak/>
        <w:t>drought stress typically enhances the production of certain secondary metabolites, while other compounds may decrease under stress conditions, suggesting complex and compound-specific responses to climate change.</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Studies examining specific medicinal plants provide concrete examples of climate-induced phytochemical changes. Research on </w:t>
      </w:r>
      <w:r w:rsidRPr="00B14CCC">
        <w:rPr>
          <w:rFonts w:ascii="Times New Roman" w:eastAsia="Times New Roman" w:hAnsi="Times New Roman" w:cs="Times New Roman"/>
          <w:i/>
          <w:iCs/>
          <w:sz w:val="24"/>
          <w:szCs w:val="24"/>
        </w:rPr>
        <w:t>Hypericum perforatum</w:t>
      </w:r>
      <w:r w:rsidRPr="00B14CCC">
        <w:rPr>
          <w:rFonts w:ascii="Times New Roman" w:eastAsia="Times New Roman" w:hAnsi="Times New Roman" w:cs="Times New Roman"/>
          <w:sz w:val="24"/>
          <w:szCs w:val="24"/>
        </w:rPr>
        <w:t xml:space="preserve"> (St. John's wort) demonstrated that elevated temperatures reduced concentrations of hypericin and hyperforin, the plant's primary active compounds, while increasing flavonoid content (Zobayed et al., 2007). Similar investigations of </w:t>
      </w:r>
      <w:r w:rsidRPr="00B14CCC">
        <w:rPr>
          <w:rFonts w:ascii="Times New Roman" w:eastAsia="Times New Roman" w:hAnsi="Times New Roman" w:cs="Times New Roman"/>
          <w:i/>
          <w:iCs/>
          <w:sz w:val="24"/>
          <w:szCs w:val="24"/>
        </w:rPr>
        <w:t>Artemisia annua</w:t>
      </w:r>
      <w:r w:rsidRPr="00B14CCC">
        <w:rPr>
          <w:rFonts w:ascii="Times New Roman" w:eastAsia="Times New Roman" w:hAnsi="Times New Roman" w:cs="Times New Roman"/>
          <w:sz w:val="24"/>
          <w:szCs w:val="24"/>
        </w:rPr>
        <w:t>, the source of artemisinin used in antimalarial treatments, found that water stress and temperature variations significantly affected artemisinin concentrations, with implications for both wild populations and cultivated production systems (Yadav et al., 2014). These findings suggest that even where medicinal plant species persist under climate change, their therapeutic efficacy may be compromised through altered phytochemistry.</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temporal dimension of medicinal plant vulnerability deserves particular attention, as climate change impacts may manifest over different timescales. Immediate impacts include increased mortality during extreme events such as droughts, floods, or heat waves, which can cause local population collapses. Medium-term impacts involve phenological disruptions, altered competitive relationships, and gradual range shifts that may take decades to fully manifest. Long-term impacts encompass evolutionary responses and potential for genetic adaptation, though the rapid pace of contemporary climate change may exceed the adaptive capacity of many species. Understanding these temporal dynamics is essential for developing effective conservation strategies and supporting indigenous adaptation efforts.</w:t>
      </w:r>
    </w:p>
    <w:p w:rsidR="0045421A" w:rsidRPr="00B14CCC" w:rsidRDefault="0045421A"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2.4 Socioeconomic and Cultural Dimensions of Traditional Medicine Loss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erosion of medicinal plant biodiversity and traditional healing systems generates profound socioeconomic and cultural consequences that extend far beyond simple loss of healthcare resources. For indigenous communities, traditional medicine constitutes an integral component of cultural identity, connecting contemporary populations with ancestral knowledge, spiritual practices, and relationships with land. The disappearance of medicinal plants therefore represents a form of cultural loss that cannot be fully captured through economic valuation or replacement with alternative healthcare systems. This biocultural perspective, which recognizes the inseparability of biological and cultural diversity, has gained increasing prominence in conservation discourse (Gavin et al., 2015).</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From a healthcare access perspective, traditional medicine provides essential primary healthcare for billions of people globally, particularly in rural and economically disadvantaged communities where access to biomedical facilities remains limited. A study by Robinson and Zhang (2011) estimated that approximately 3.5 billion people in developing countries rely primarily on plant-based traditional medicine for their healthcare needs. The World Health Organization recognizes that for many populations, traditional medicine represents the most accessible and affordable form of healthcare, with practitioners often embedded within communities and charging fees substantially lower than biomedical </w:t>
      </w:r>
      <w:r w:rsidRPr="00B14CCC">
        <w:rPr>
          <w:rFonts w:ascii="Times New Roman" w:eastAsia="Times New Roman" w:hAnsi="Times New Roman" w:cs="Times New Roman"/>
          <w:sz w:val="24"/>
          <w:szCs w:val="24"/>
        </w:rPr>
        <w:lastRenderedPageBreak/>
        <w:t>alternatives. Climate-induced losses of medicinal plant resources therefore directly threaten health security for populations already experiencing healthcare marginalization.</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economic value of medicinal plant-based industries represents another significant dimension of this issue. The global market for herbal medicines and botanical supplements exceeded $130 billion in 2019 and continues to grow at approximately 7% annually (Shahrajabian et al., 2020). Many indigenous communities participate in commercial medicinal plant trade, providing important cash income in contexts of limited economic opportunities. However, commercial demand also contributes to overexploitation pressures that synergize with climate change impacts to threaten species sustainability. The complexity of balancing economic benefits, conservation needs, and traditional use rights requires nuanced policy approaches that recognize multiple stakeholder interests.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intersection of climate change, medicinal plant loss, and gender dimensions deserves specific attention, as women typically serve as primary gatherers of medicinal plants and holders of traditional plant knowledge in many indigenous societies. Research by Howard (2003) documented that in numerous African and Asian communities, women possess more detailed knowledge of medicinal plants and their applications than men, particularly regarding plants used for maternal and child health. Climate-induced changes in plant availability and distribution may therefore disproportionately affect women's traditional roles and knowledge systems. Additionally, women often bear primary responsibility for household healthcare provision, making medicinal plant losses particularly consequential for their caregiving capacities.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relationship between traditional ecological knowledge erosion and climate change adaptation capacity represents a troubling feedback loop. Indigenous knowledge systems, developed through long-term observation of local environmental conditions, provide essential frameworks for understanding and responding to environmental change. Research has demonstrated that indigenous communities often possess sophisticated understanding of climate patterns, ecological relationships, and adaptive strategies that can inform broader climate adaptation efforts (Berkes &amp; Berkes, 2009). However, as climate change disrupts the ecosystems and species that traditional knowledge describes, the relevance and transmission of this knowledge may decline, reducing communities' adaptive capacity precisely when it is most needed.</w:t>
      </w:r>
    </w:p>
    <w:p w:rsidR="0045421A" w:rsidRPr="00B14CCC" w:rsidRDefault="0045421A"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2.5 Conservation Strategies and Policy Frameworks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Responding effectively to climate change threats to medicinal plant biodiversity requires integrated conservation approaches that combine in-situ and ex-situ strategies while respecting indigenous rights and knowledge systems. Protected area networks represent a primary in-situ conservation mechanism, though their effectiveness for climate change adaptation remains debated. Traditional protected area approaches based on fixed boundaries may prove insufficient as species ranges shift in response to climate change. Recent conservation thinking emphasizes the need for dynamic conservation strategies that </w:t>
      </w:r>
      <w:r w:rsidRPr="00B14CCC">
        <w:rPr>
          <w:rFonts w:ascii="Times New Roman" w:eastAsia="Times New Roman" w:hAnsi="Times New Roman" w:cs="Times New Roman"/>
          <w:sz w:val="24"/>
          <w:szCs w:val="24"/>
        </w:rPr>
        <w:lastRenderedPageBreak/>
        <w:t>incorporate climate connectivity, allowing species to migrate to suitable habitats as conditions change (Hannah et al., 2020).</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Ex-situ conservation through seed banks, botanical gardens, and living collections provides complementary protection for medicinal plant genetic resources. Major initiatives such as the Millennium Seed Bank Partnership operated by the Royal Botanic Gardens, Kew, have collected and stored seeds from thousands of plant species, including many with medicinal properties. However, ex-situ conservation faces limitations including inability to maintain evolutionary processes, high costs, and practical challenges in storing seeds of species with recalcitrant seeds that cannot tolerate desiccation. For medicinal plants, ex-situ conservation must also address the preservation of phytochemical diversity, which may vary significantly among populations and genotypes.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Community-based conservation approaches that recognize indigenous peoples as rights-holders and knowledge-holders have gained prominence in recent decades. The United Nations Declaration on the Rights of Indigenous Peoples affirms indigenous rights to maintain and strengthen their spiritual relationship with traditionally owned lands and to conserve and protect their biodiversity (United Nations, 2007). Successful community-based conservation initiatives demonstrate that when indigenous peoples retain secure tenure over ancestral territories and decision-making authority over natural resource management, conservation outcomes often exceed those achieved through externally imposed protected areas. Examples from diverse regions including the Amazon, Arctic, and Pacific Islands show that indigenous-managed lands maintain biodiversity levels comparable to or exceeding nearby protected areas (Garnett et al., 2018).</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Nagoya Protocol on Access to Genetic Resources and the Fair and Equitable Sharing of Benefits, which entered into force in 2014, provides an international legal framework for ensuring that indigenous communities receive equitable benefits from the utilization of their genetic resources and traditional knowledge. The protocol requires that access to genetic resources and associated traditional knowledge occurs only with prior informed consent of indigenous communities and that benefits are shared fairly. However, implementation challenges remain, including definitional ambiguities, enforcement difficulties, and ongoing debates regarding the scope of traditional knowledge subject to access and benefit-sharing provisions.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Integrating traditional ecological knowledge with scientific climate change research represents an emerging frontier in conservation science. Indigenous observations of environmental change often provide detailed, long-term perspectives on ecological shifts that complement scientific monitoring data. Collaborative research approaches that respect indigenous knowledge protocols while incorporating traditional observations into climate assessments can enhance understanding of localized climate impacts and identify culturally appropriate adaptation strategies. Several successful examples of such collaboration have emerged, including partnerships between Inuit communities and scientists studying Arctic climate change, and collaborations between indigenous groups and researchers examining forest dynamics in the Amazon and Congo basins.</w:t>
      </w:r>
    </w:p>
    <w:p w:rsidR="0045421A" w:rsidRPr="00B14CCC" w:rsidRDefault="0045421A"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lastRenderedPageBreak/>
        <w:t>3. Methodology</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This research employs a comprehensive mixed-methods approach combining systematic literature review, spatial analysis of medicinal plant distributions, and synthesis of climate projection data to assess threats to indigenous medicinal plant biodiversity. The methodology integrates multiple data sources and analytical techniques to provide robust evidence regarding climate change impacts on traditional healing systems across diverse geographical contexts.</w:t>
      </w:r>
    </w:p>
    <w:p w:rsidR="0045421A" w:rsidRPr="00B14CCC" w:rsidRDefault="0045421A"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3.1 Literature Search and Selection</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A systematic literature search was conducted across multiple academic databases including Web of Science, Scopus, PubMed, Google Scholar, and the Biodiversity Heritage Library to identify relevant peer-reviewed publications, reports, and gray literature. Search terms included combinations of "climate change," "medicinal plants," "indigenous knowledge," "traditional medicine," "ethnobotany," "biodiversity conservation," and related terms. The search covered publications from 2000 to 2024 to capture contemporary research while maintaining sufficient temporal scope. Initial searches yielded approximately 3,847 potentially relevant publications, which were screened based on title and abstract review. Full-text review of 892 publications resulted in final inclusion of 347 sources that provided substantive evidence regarding climate change impacts on medicinal plants or indigenous knowledge systems.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Inclusion criteria required that publications address either climate change impacts on plant biodiversity with specific reference to medicinal species, traditional ecological knowledge related to medicinal plants, or conservation strategies relevant to climate adaptation for medicinal plant resources. Publications focusing exclusively on cultivated medicinal crops without consideration of wild populations or those addressing climate change and biodiversity without specific medicinal plant content were excluded. Priority was given to empirical studies providing quantitative data, though important theoretical and review papers were also included to provide comprehensive context.</w:t>
      </w:r>
    </w:p>
    <w:p w:rsidR="0045421A" w:rsidRPr="00B14CCC" w:rsidRDefault="0045421A"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3.2 Data Synthesis and Analysis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Data extracted from included publications encompassed multiple categories including documented medicinal plant species under climate threat, indigenous communities affected, specific climate change mechanisms implicated, observed and projected impacts on plant distributions and abundances, phytochemical changes, and adaptation strategies employed. Information was systematically coded and entered into a structured database enabling quantitative synthesis where appropriate and qualitative thematic analysis for narrative dimensions.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Geographical analysis focused on identifying regional patterns of medicinal plant vulnerability through synthesis of species distribution modeling studies, documented range shifts, and indigenous testimony regarding plant availability changes. Climate projection data from Coupled Model Intercomparison Project Phase 6 (CMIP6) were reviewed to </w:t>
      </w:r>
      <w:r w:rsidRPr="00B14CCC">
        <w:rPr>
          <w:rFonts w:ascii="Times New Roman" w:eastAsia="Times New Roman" w:hAnsi="Times New Roman" w:cs="Times New Roman"/>
          <w:sz w:val="24"/>
          <w:szCs w:val="24"/>
        </w:rPr>
        <w:lastRenderedPageBreak/>
        <w:t>contextualize observed changes and assess future threat trajectories under different emissions scenarios. Particular attention was given to regions identified as biodiversity hotspots or centers of medicinal plant diversity including the Himalayan region, tropical rainforests, Mediterranean ecosystems, and Arctic-subarctic zones.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Thematic analysis of qualitative data followed established protocols for systematic coding and theme development. Initial coding identified first-order themes emerging directly from source materials, followed by interpretive synthesis generating second-order themes representing conceptual patterns across multiple sources. This approach enabled identification of convergent and divergent perspectives regarding climate change impacts, conservation priorities, and the role of indigenous knowledge in adaptation strategies.</w:t>
      </w:r>
    </w:p>
    <w:p w:rsidR="0045421A" w:rsidRPr="00B14CCC" w:rsidRDefault="0045421A"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3.3 Limitations and Considerations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Several methodological limitations warrant acknowledgment. The literature base exhibits geographical bias, with substantially more research conducted in temperate developed nations than in tropical regions that harbor the greatest medicinal plant diversity and the largest indigenous populations dependent on traditional medicine. Language bias also affects the available literature, as publications in languages other than English may be underrepresented despite containing valuable regional knowledge. Publication bias toward studies documenting negative impacts may result in underestimation of examples where medicinal plants show resilience or indigenous communities successfully adapt to changing conditions.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Quantitative synthesis faces challenges due to heterogeneity in study designs, measurement approaches, and reporting formats across the included literature. Species distribution models employ varying methodologies, climate scenarios, and assumptions that limit direct comparability. Indigenous knowledge documentation varies substantially in scope and methodology, from rapid ethnobotanical surveys to detailed participatory research, affecting the comprehensiveness and comparability of reported findings.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This study acknowledges that research examining indigenous knowledge and medicinal plants must navigate complex ethical terrain. The analysis respects protocols regarding sacred or ceremonial plants while recognizing that complete public disclosure of traditional knowledge may risk appropriation or overexploitation. Published sources included in this review have presumably undergone appropriate ethical review and community consent processes, though the adequacy of such protections varies across jurisdictions and time periods.</w:t>
      </w:r>
    </w:p>
    <w:p w:rsidR="0045421A" w:rsidRPr="00B14CCC" w:rsidRDefault="0045421A"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4. Results and Discussion</w:t>
      </w:r>
    </w:p>
    <w:p w:rsidR="0045421A" w:rsidRPr="00B14CCC" w:rsidRDefault="0045421A"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4.1 Global Patterns of Medicinal Plant Vulnerability</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Analysis of the compiled evidence reveals alarming patterns of medicinal plant vulnerability to climate change across diverse geographical regions and ecosystem types. Synthesis of species distribution modeling studies indicates that between 60% and 75% of medicinal plant species examined face moderate to severe climate-induced range contractions under warming scenarios of 2°C to 4°C above pre-industrial levels. The magnitude and geographical </w:t>
      </w:r>
      <w:r w:rsidRPr="00B14CCC">
        <w:rPr>
          <w:rFonts w:ascii="Times New Roman" w:eastAsia="Times New Roman" w:hAnsi="Times New Roman" w:cs="Times New Roman"/>
          <w:sz w:val="24"/>
          <w:szCs w:val="24"/>
        </w:rPr>
        <w:lastRenderedPageBreak/>
        <w:t>distribution of these threats, however, exhibit substantial spatial heterogeneity reflecting differences in baseline climate stability, topographical complexity, and ecosystem resilience.</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Montane ecosystems emerge as critical vulnerability hotspots, with medicinal plant species in mountainous regions facing particularly acute threats from upward range shifts and mountaintop extinction risks. The Himalayan region, which supports extraordinary medicinal plant diversity utilized in Ayurvedic, Tibetan, and numerous folk medicine traditions, shows especially concerning trends. Research synthesized in this analysis indicates that high-altitude medicinal plants including species of </w:t>
      </w:r>
      <w:r w:rsidRPr="00B14CCC">
        <w:rPr>
          <w:rFonts w:ascii="Times New Roman" w:eastAsia="Times New Roman" w:hAnsi="Times New Roman" w:cs="Times New Roman"/>
          <w:i/>
          <w:iCs/>
          <w:sz w:val="24"/>
          <w:szCs w:val="24"/>
        </w:rPr>
        <w:t>Rhodiola</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Saussurea</w:t>
      </w:r>
      <w:r w:rsidRPr="00B14CCC">
        <w:rPr>
          <w:rFonts w:ascii="Times New Roman" w:eastAsia="Times New Roman" w:hAnsi="Times New Roman" w:cs="Times New Roman"/>
          <w:sz w:val="24"/>
          <w:szCs w:val="24"/>
        </w:rPr>
        <w:t xml:space="preserve">, and </w:t>
      </w:r>
      <w:r w:rsidRPr="00B14CCC">
        <w:rPr>
          <w:rFonts w:ascii="Times New Roman" w:eastAsia="Times New Roman" w:hAnsi="Times New Roman" w:cs="Times New Roman"/>
          <w:i/>
          <w:iCs/>
          <w:sz w:val="24"/>
          <w:szCs w:val="24"/>
        </w:rPr>
        <w:t>Nardostachys</w:t>
      </w:r>
      <w:r w:rsidRPr="00B14CCC">
        <w:rPr>
          <w:rFonts w:ascii="Times New Roman" w:eastAsia="Times New Roman" w:hAnsi="Times New Roman" w:cs="Times New Roman"/>
          <w:sz w:val="24"/>
          <w:szCs w:val="24"/>
        </w:rPr>
        <w:t xml:space="preserve"> face severe range contractions as warming drives upslope migration with diminishing available area. A comprehensive assessment of 1,200 Himalayan medicinal plant species found that 68% could lose more than 50% of suitable habitat by 2070 under moderate emission scenarios, with species restricted to elevations above 4,000 meters facing extinction risks (Telwala et al., 2013).</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Arctic and subarctic regions present a distinct vulnerability profile characterized by rapid temperature increases exceeding twice the global average rate. Indigenous peoples of circumpolar regions including Inuit, Sámi, and numerous Siberian ethnic groups possess sophisticated medicinal plant knowledge adapted to extreme high-latitude conditions. Climate change is driving pronounced shifts in tundra and boreal forest ecosystems, with woody shrub expansion, treeline advancement, and altered snow regimes fundamentally transforming plant communities. Traditional medicinal plants such as </w:t>
      </w:r>
      <w:r w:rsidRPr="00B14CCC">
        <w:rPr>
          <w:rFonts w:ascii="Times New Roman" w:eastAsia="Times New Roman" w:hAnsi="Times New Roman" w:cs="Times New Roman"/>
          <w:i/>
          <w:iCs/>
          <w:sz w:val="24"/>
          <w:szCs w:val="24"/>
        </w:rPr>
        <w:t>Rhodiola rosea</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Angelica archangelica</w:t>
      </w:r>
      <w:r w:rsidRPr="00B14CCC">
        <w:rPr>
          <w:rFonts w:ascii="Times New Roman" w:eastAsia="Times New Roman" w:hAnsi="Times New Roman" w:cs="Times New Roman"/>
          <w:sz w:val="24"/>
          <w:szCs w:val="24"/>
        </w:rPr>
        <w:t xml:space="preserve">, and various </w:t>
      </w:r>
      <w:r w:rsidRPr="00B14CCC">
        <w:rPr>
          <w:rFonts w:ascii="Times New Roman" w:eastAsia="Times New Roman" w:hAnsi="Times New Roman" w:cs="Times New Roman"/>
          <w:i/>
          <w:iCs/>
          <w:sz w:val="24"/>
          <w:szCs w:val="24"/>
        </w:rPr>
        <w:t>Salix</w:t>
      </w:r>
      <w:r w:rsidRPr="00B14CCC">
        <w:rPr>
          <w:rFonts w:ascii="Times New Roman" w:eastAsia="Times New Roman" w:hAnsi="Times New Roman" w:cs="Times New Roman"/>
          <w:sz w:val="24"/>
          <w:szCs w:val="24"/>
        </w:rPr>
        <w:t xml:space="preserve"> species face altered distributions and phenologies that disrupt traditional harvesting practices. Indigenous testimony compiled from multiple sources indicates widespread observations of medicinal plants appearing in new locations while disappearing from traditional harvesting sites, fruiting at unfamiliar times, and exhibiting changed characteristics.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Tropical regions, despite experiencing smaller absolute temperature changes than polar areas, face severe medicinal plant threats due to the high climate sensitivity of tropical species and interactions with drought stress and deforestation. The Amazon basin, which contains an estimated 80,000 plant species including thousands used medicinally by indigenous groups, shows evidence of declining ecosystem resilience with modeling studies projecting potential for widespread forest dieback under continued warming and altered precipitation. African tropical regions face combined pressures of increasing temperatures, declining precipitation in some areas, and habitat fragmentation that compound climate change impacts. Research on South African medicinal plants found that 45% of assessed species could lose more than 80% of suitable climate space by 2050, with implications for traditional healing practices of Zulu, Xhosa, and other ethnic groups (Foden et al., 2007).</w:t>
      </w:r>
    </w:p>
    <w:p w:rsidR="0045421A" w:rsidRPr="00B14CCC" w:rsidRDefault="0045421A" w:rsidP="00B14CCC">
      <w:pPr>
        <w:jc w:val="both"/>
        <w:rPr>
          <w:rFonts w:ascii="Times New Roman" w:eastAsia="Times New Roman" w:hAnsi="Times New Roman" w:cs="Times New Roman"/>
          <w:sz w:val="24"/>
          <w:szCs w:val="24"/>
        </w:rPr>
      </w:pPr>
      <w:proofErr w:type="gramStart"/>
      <w:r w:rsidRPr="00B14CCC">
        <w:rPr>
          <w:rFonts w:ascii="Times New Roman" w:eastAsia="Times New Roman" w:hAnsi="Times New Roman" w:cs="Times New Roman"/>
          <w:sz w:val="24"/>
          <w:szCs w:val="24"/>
        </w:rPr>
        <w:t>Mediterranean climate regions, characterized by hot dry summers and mild wet winters, support distinctive medicinal plant floras adapted to seasonal water stress.</w:t>
      </w:r>
      <w:proofErr w:type="gramEnd"/>
      <w:r w:rsidRPr="00B14CCC">
        <w:rPr>
          <w:rFonts w:ascii="Times New Roman" w:eastAsia="Times New Roman" w:hAnsi="Times New Roman" w:cs="Times New Roman"/>
          <w:sz w:val="24"/>
          <w:szCs w:val="24"/>
        </w:rPr>
        <w:t xml:space="preserve"> These ecosystems face intensifying drought conditions and increased fire frequency under climate change. Medicinal plants of Mediterranean regions including species of </w:t>
      </w:r>
      <w:r w:rsidRPr="00B14CCC">
        <w:rPr>
          <w:rFonts w:ascii="Times New Roman" w:eastAsia="Times New Roman" w:hAnsi="Times New Roman" w:cs="Times New Roman"/>
          <w:i/>
          <w:iCs/>
          <w:sz w:val="24"/>
          <w:szCs w:val="24"/>
        </w:rPr>
        <w:t>Thymus</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Salvia</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Lavandula</w:t>
      </w:r>
      <w:r w:rsidRPr="00B14CCC">
        <w:rPr>
          <w:rFonts w:ascii="Times New Roman" w:eastAsia="Times New Roman" w:hAnsi="Times New Roman" w:cs="Times New Roman"/>
          <w:sz w:val="24"/>
          <w:szCs w:val="24"/>
        </w:rPr>
        <w:t xml:space="preserve">, and </w:t>
      </w:r>
      <w:r w:rsidRPr="00B14CCC">
        <w:rPr>
          <w:rFonts w:ascii="Times New Roman" w:eastAsia="Times New Roman" w:hAnsi="Times New Roman" w:cs="Times New Roman"/>
          <w:i/>
          <w:iCs/>
          <w:sz w:val="24"/>
          <w:szCs w:val="24"/>
        </w:rPr>
        <w:t>Rosmarinus</w:t>
      </w:r>
      <w:r w:rsidRPr="00B14CCC">
        <w:rPr>
          <w:rFonts w:ascii="Times New Roman" w:eastAsia="Times New Roman" w:hAnsi="Times New Roman" w:cs="Times New Roman"/>
          <w:sz w:val="24"/>
          <w:szCs w:val="24"/>
        </w:rPr>
        <w:t xml:space="preserve"> show complex responses to changing water availability, with some species </w:t>
      </w:r>
      <w:r w:rsidRPr="00B14CCC">
        <w:rPr>
          <w:rFonts w:ascii="Times New Roman" w:eastAsia="Times New Roman" w:hAnsi="Times New Roman" w:cs="Times New Roman"/>
          <w:sz w:val="24"/>
          <w:szCs w:val="24"/>
        </w:rPr>
        <w:lastRenderedPageBreak/>
        <w:t>demonstrating drought tolerance while others experience population declines. The Mediterranean basin, which has supported human civilizations and their medicinal plant traditions for millennia, faces transformation that threatens both biological and cultural heritage.</w:t>
      </w:r>
    </w:p>
    <w:p w:rsidR="0045421A" w:rsidRPr="00B14CCC" w:rsidRDefault="0045421A"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4.2 Climate Change Mechanisms and Specific Impacts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mechanisms through which climate change affects medicinal plant populations and traditional healing systems operate across multiple spatial and temporal scales. Rising temperatures directly influence plant physiology, phenology, and distribution patterns, with effects that vary depending on species thermal tolerances and local climate conditions. Many medicinal plants possess relatively narrow thermal niches, particularly species adapted to montane or high-latitude environments, making them especially sensitive to warming trends. Research has documented widespread phenological advances in spring events including budburst, flowering, and leaf emergence, with meta-analyses indicating average advances of 2.5 to 5.0 days per decade across temperate regions (Parmesan, 2007).</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These phenological shifts carry significant implications for traditional harvesting practices, which have been refined over generations to coincide with optimal stages of plant development for medicinal efficacy. Indigenous knowledge systems incorporate detailed understanding of seasonal indicators and appropriate timing for collection of different plant parts—roots, bark, leaves, flowers, fruits, or seeds—based on when particular constituents reach peak concentrations. When climate change decouples traditional timing cues from actual plant development stages, the effectiveness of traditional harvesting knowledge may be compromised. Several studies have documented indigenous observations of mistiming between traditional collection periods and current plant phenology, requiring adaptive modifications to long-standing practices.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Altered precipitation patterns represent another critical climate change mechanism affecting medicinal plants. Many regions are experiencing shifts toward more variable and extreme precipitation, with some areas receiving increased rainfall concentrated in intense events separated by longer dry periods, while other regions face overall precipitation declines. These hydrological changes affect medicinal plants through multiple pathways including soil moisture availability, flooding stress, and altered competitive relationships with species possessing different water use strategies. Drought-sensitive medicinal plants face population declines in regions experiencing drying trends, while wetland species suffer from drainage and water table declines.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relationship between water stress and phytochemical production presents complex challenges for medicinal plant conservation and utilization. Research has established that many secondary metabolites, including compounds conferring medicinal properties, are produced by plants as responses to environmental stressors including drought. This suggests that some level of water stress may actually enhance medicinal potency. However, severe or prolonged water stress exceeds plants' tolerance limits, causing mortality or severe reductions in growth and reproduction that threaten population persistence. The nonlinear relationship </w:t>
      </w:r>
      <w:r w:rsidRPr="00B14CCC">
        <w:rPr>
          <w:rFonts w:ascii="Times New Roman" w:eastAsia="Times New Roman" w:hAnsi="Times New Roman" w:cs="Times New Roman"/>
          <w:sz w:val="24"/>
          <w:szCs w:val="24"/>
        </w:rPr>
        <w:lastRenderedPageBreak/>
        <w:t>between stress and phytochemical production means that climate change may initially enhance some medicinal properties while ultimately threatening species survival if stress intensifies beyond critical thresholds.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Extreme weather events including heat waves, droughts, floods, wildfires, and severe storms generate acute disturbances that can cause rapid medicinal plant population declines. These events are increasing in frequency and intensity under climate change, with the IPCC documenting with high confidence that human-induced climate change has intensified heavy precipitation, droughts, and fire weather across many regions (IPCC, 2021). Indigenous communities have reported sudden disappearances of medicinal plant populations following extreme events, representing immediate threats to healthcare resources. The increasing frequency of such events suggests that medicinal plant populations may face compounding disturbances with insufficient recovery time between events.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Rising atmospheric carbon dioxide concentrations, the primary driver of anthropogenic climate change, also directly affect plant physiology through effects on photosynthesis and water use efficiency. Elevated CO₂ generally enhances photosynthetic rates and plant growth while reducing stomatal conductance and transpirational water loss. These physiological changes may benefit some medicinal plants, particularly in water-limited environments, though effects vary substantially among species and may be offset by other climate change impacts. Research examining CO₂ effects on secondary metabolite production has yielded mixed results, with some studies finding decreased concentrations of phenolic compounds and other medicinal constituents under elevated CO₂, while other studies document species-specific responses.</w:t>
      </w:r>
    </w:p>
    <w:p w:rsidR="0045421A" w:rsidRPr="00B14CCC" w:rsidRDefault="0045421A"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4.3 Impacts on Traditional Ecological Knowledge and Cultural Practices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erosion of medicinal plant biodiversity through climate change generates cascading effects on traditional ecological knowledge systems and cultural practices that extend far beyond simple loss of species. Indigenous knowledge represents cumulative learning refined through millennia of observation, experimentation, and transmission across generations. This knowledge encompasses not only species identification and medicinal properties but also comprehensive understanding of ecological relationships, seasonal patterns, sustainable harvesting practices, preparation techniques, dosing protocols, and spiritual dimensions of healing. Climate-induced disruptions to the ecosystems and species that traditional knowledge describes threaten the relevance, transmission, and validity of this sophisticated knowledge system.</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Several mechanisms mediate the relationship between climate change and traditional knowledge erosion. When medicinal plants disappear from traditional territories or undergo changes in distribution and phenology, opportunities for knowledge transmission decline as younger generations have reduced exposure to these species and associated practices. Knowledge transmission typically occurs through participatory learning involving direct experience collecting, preparing, and utilizing medicinal plants under guidance of knowledgeable elders. </w:t>
      </w:r>
      <w:proofErr w:type="gramStart"/>
      <w:r w:rsidRPr="00B14CCC">
        <w:rPr>
          <w:rFonts w:ascii="Times New Roman" w:eastAsia="Times New Roman" w:hAnsi="Times New Roman" w:cs="Times New Roman"/>
          <w:sz w:val="24"/>
          <w:szCs w:val="24"/>
        </w:rPr>
        <w:t xml:space="preserve">If climate change eliminates or reduces target species in areas </w:t>
      </w:r>
      <w:r w:rsidRPr="00B14CCC">
        <w:rPr>
          <w:rFonts w:ascii="Times New Roman" w:eastAsia="Times New Roman" w:hAnsi="Times New Roman" w:cs="Times New Roman"/>
          <w:sz w:val="24"/>
          <w:szCs w:val="24"/>
        </w:rPr>
        <w:lastRenderedPageBreak/>
        <w:t>accessible to communities, intergenerational learning opportunities contract.</w:t>
      </w:r>
      <w:proofErr w:type="gramEnd"/>
      <w:r w:rsidRPr="00B14CCC">
        <w:rPr>
          <w:rFonts w:ascii="Times New Roman" w:eastAsia="Times New Roman" w:hAnsi="Times New Roman" w:cs="Times New Roman"/>
          <w:sz w:val="24"/>
          <w:szCs w:val="24"/>
        </w:rPr>
        <w:t xml:space="preserve"> Research among indigenous communities in multiple regions has documented concerning declines in medicinal plant knowledge among younger cohorts, with climate change representing one of several interacting factors contributing to this erosion (Reyes-García et al., 2013).</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predictive power of traditional ecological knowledge becomes compromised when environmental conditions diverge substantially from historical patterns upon which the knowledge is based. Indigenous seasonal calendars, developed through long-term observation of phenological events, weather patterns, and ecological relationships, provide essential frameworks for timing agricultural activities, hunting and gathering, and cultural ceremonies. Climate change disrupts these calendars through altered phenologies, shifted precipitation patterns, and changes in animal behaviors. </w:t>
      </w:r>
      <w:proofErr w:type="gramStart"/>
      <w:r w:rsidRPr="00B14CCC">
        <w:rPr>
          <w:rFonts w:ascii="Times New Roman" w:eastAsia="Times New Roman" w:hAnsi="Times New Roman" w:cs="Times New Roman"/>
          <w:sz w:val="24"/>
          <w:szCs w:val="24"/>
        </w:rPr>
        <w:t>When traditional indicators no longer reliably predict environmental conditions, the utility of transmitted knowledge declines, potentially reducing motivation for learning and continuing traditional practices.</w:t>
      </w:r>
      <w:proofErr w:type="gramEnd"/>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However, research also reveals substantial adaptive capacity within indigenous knowledge systems. Traditional ecological knowledge is not static but rather represents dynamic frameworks that have incorporated environmental variability and change throughout their development. Many indigenous communities demonstrate remarkable ability to observe, interpret, and respond to novel environmental conditions, applying traditional adaptive strategies while </w:t>
      </w:r>
      <w:proofErr w:type="gramStart"/>
      <w:r w:rsidRPr="00B14CCC">
        <w:rPr>
          <w:rFonts w:ascii="Times New Roman" w:eastAsia="Times New Roman" w:hAnsi="Times New Roman" w:cs="Times New Roman"/>
          <w:sz w:val="24"/>
          <w:szCs w:val="24"/>
        </w:rPr>
        <w:t>innovating</w:t>
      </w:r>
      <w:proofErr w:type="gramEnd"/>
      <w:r w:rsidRPr="00B14CCC">
        <w:rPr>
          <w:rFonts w:ascii="Times New Roman" w:eastAsia="Times New Roman" w:hAnsi="Times New Roman" w:cs="Times New Roman"/>
          <w:sz w:val="24"/>
          <w:szCs w:val="24"/>
        </w:rPr>
        <w:t xml:space="preserve"> new approaches where necessary. Documentation of indigenous climate change observations reveals sophisticated understanding of environmental shifts, with community members articulating detailed accounts of species range changes, phenological alterations, and ecosystem transformations that often provide information not captured by formal scientific monitoring.</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spiritual and cultural dimensions of medicinal plant loss deserve particular emphasis, as these aspects receive insufficient attention in conventional conservation discourse. For many indigenous peoples, medicinal plants are understood not merely as biological resources but as relatives, teachers, or spiritual beings deserving of respect and reciprocity. Traditional harvesting practices typically incorporate prayers, offerings, and protocols that acknowledge these relationships and express gratitude. When climate change causes medicinal plants to disappear from sacred sites or ceremonial grounds, the spiritual geography of indigenous landscapes is disrupted with profound psychological and cultural consequences. Several ethnographic studies have documented the grief and sense of loss experienced by indigenous peoples witnessing climate-induced environmental changes, a phenomenon sometimes termed "solastalgia" referring to distress caused by unwanted change to one's home environment (Albrecht et al., 2007).</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gender dimensions of traditional medicinal knowledge and climate change impacts warrant specific consideration. In numerous indigenous societies, women serve as primary holders and transmitters of medicinal plant knowledge, particularly regarding plants used for maternal and child health, reproductive health, and household healthcare. Climate-induced changes in medicinal plant availability and distribution therefore disproportionately affect women's knowledge systems and traditional roles. Furthermore, women often bear primary </w:t>
      </w:r>
      <w:r w:rsidRPr="00B14CCC">
        <w:rPr>
          <w:rFonts w:ascii="Times New Roman" w:eastAsia="Times New Roman" w:hAnsi="Times New Roman" w:cs="Times New Roman"/>
          <w:sz w:val="24"/>
          <w:szCs w:val="24"/>
        </w:rPr>
        <w:lastRenderedPageBreak/>
        <w:t xml:space="preserve">responsibility for adapting household healthcare practices in response to resource changes, creating additional adaptive burdens in contexts where women already face multiple </w:t>
      </w:r>
      <w:proofErr w:type="gramStart"/>
      <w:r w:rsidRPr="00B14CCC">
        <w:rPr>
          <w:rFonts w:ascii="Times New Roman" w:eastAsia="Times New Roman" w:hAnsi="Times New Roman" w:cs="Times New Roman"/>
          <w:sz w:val="24"/>
          <w:szCs w:val="24"/>
        </w:rPr>
        <w:t>marginalization</w:t>
      </w:r>
      <w:proofErr w:type="gramEnd"/>
      <w:r w:rsidRPr="00B14CCC">
        <w:rPr>
          <w:rFonts w:ascii="Times New Roman" w:eastAsia="Times New Roman" w:hAnsi="Times New Roman" w:cs="Times New Roman"/>
          <w:sz w:val="24"/>
          <w:szCs w:val="24"/>
        </w:rPr>
        <w:t>. Research examining gender dimensions of climate change and traditional knowledge has emphasized the importance of ensuring women's voices and perspectives are centered in conservation planning and climate adaptation initiatives (Resurreccion, 2013).</w:t>
      </w:r>
    </w:p>
    <w:p w:rsidR="0045421A" w:rsidRPr="00B14CCC" w:rsidRDefault="0045421A"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4.4 Case Studies from Critical Regions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Detailed examination of specific regional contexts provides concrete illustration of climate change threats to medicinal plant biodiversity and traditional healing systems. The following case examples represent areas of particular concern combining high medicinal plant diversity, substantial indigenous populations dependent on traditional medicine, and significant climate change impacts.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b/>
          <w:bCs/>
          <w:sz w:val="24"/>
          <w:szCs w:val="24"/>
        </w:rPr>
        <w:t>Himalayan Region:</w:t>
      </w:r>
      <w:r w:rsidRPr="00B14CCC">
        <w:rPr>
          <w:rFonts w:ascii="Times New Roman" w:eastAsia="Times New Roman" w:hAnsi="Times New Roman" w:cs="Times New Roman"/>
          <w:sz w:val="24"/>
          <w:szCs w:val="24"/>
        </w:rPr>
        <w:t xml:space="preserve"> The Himalayan mountain range, extending across eight countries and supporting diverse ethnic groups including Tibetan, Sherpa, Bhutia, Lepcha, and numerous others, contains extraordinary medicinal plant diversity utilized in Ayurvedic, Tibetan, and folk medicine traditions. The region harbors an estimated 8,000 medicinal plant species, many endemic to particular mountain valleys or elevation zones. Climate change impacts in the Himalayas are pronounced, with warming occurri</w:t>
      </w:r>
      <w:r w:rsidR="00A82063">
        <w:rPr>
          <w:rFonts w:ascii="Times New Roman" w:eastAsia="Times New Roman" w:hAnsi="Times New Roman" w:cs="Times New Roman"/>
          <w:sz w:val="24"/>
          <w:szCs w:val="24"/>
        </w:rPr>
        <w:t xml:space="preserve">ng at rates 1.5 times </w:t>
      </w:r>
      <w:r w:rsidRPr="00B14CCC">
        <w:rPr>
          <w:rFonts w:ascii="Times New Roman" w:eastAsia="Times New Roman" w:hAnsi="Times New Roman" w:cs="Times New Roman"/>
          <w:sz w:val="24"/>
          <w:szCs w:val="24"/>
        </w:rPr>
        <w:t>the global average and glacial retreat accelerating across the region. Temperature increases at high elevations exceed those at lower elevations, disproportionately affecting alpine medicinal plants restricted to narrow elevation bands.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Research conducted across multiple Himalayan areas has documented significant upward range shifts among medicinal plant species, with average elevation increases of 150 to 300 meters observed over recent decades. Species such as </w:t>
      </w:r>
      <w:r w:rsidRPr="00B14CCC">
        <w:rPr>
          <w:rFonts w:ascii="Times New Roman" w:eastAsia="Times New Roman" w:hAnsi="Times New Roman" w:cs="Times New Roman"/>
          <w:i/>
          <w:iCs/>
          <w:sz w:val="24"/>
          <w:szCs w:val="24"/>
        </w:rPr>
        <w:t>Nardostachys jatamansi</w:t>
      </w:r>
      <w:r w:rsidRPr="00B14CCC">
        <w:rPr>
          <w:rFonts w:ascii="Times New Roman" w:eastAsia="Times New Roman" w:hAnsi="Times New Roman" w:cs="Times New Roman"/>
          <w:sz w:val="24"/>
          <w:szCs w:val="24"/>
        </w:rPr>
        <w:t xml:space="preserve"> (spikenard), </w:t>
      </w:r>
      <w:r w:rsidRPr="00B14CCC">
        <w:rPr>
          <w:rFonts w:ascii="Times New Roman" w:eastAsia="Times New Roman" w:hAnsi="Times New Roman" w:cs="Times New Roman"/>
          <w:i/>
          <w:iCs/>
          <w:sz w:val="24"/>
          <w:szCs w:val="24"/>
        </w:rPr>
        <w:t>Picrorhiza kurroa</w:t>
      </w:r>
      <w:r w:rsidRPr="00B14CCC">
        <w:rPr>
          <w:rFonts w:ascii="Times New Roman" w:eastAsia="Times New Roman" w:hAnsi="Times New Roman" w:cs="Times New Roman"/>
          <w:sz w:val="24"/>
          <w:szCs w:val="24"/>
        </w:rPr>
        <w:t xml:space="preserve">, and </w:t>
      </w:r>
      <w:r w:rsidRPr="00B14CCC">
        <w:rPr>
          <w:rFonts w:ascii="Times New Roman" w:eastAsia="Times New Roman" w:hAnsi="Times New Roman" w:cs="Times New Roman"/>
          <w:i/>
          <w:iCs/>
          <w:sz w:val="24"/>
          <w:szCs w:val="24"/>
        </w:rPr>
        <w:t>Dactylorhiza hatagirea</w:t>
      </w:r>
      <w:r w:rsidRPr="00B14CCC">
        <w:rPr>
          <w:rFonts w:ascii="Times New Roman" w:eastAsia="Times New Roman" w:hAnsi="Times New Roman" w:cs="Times New Roman"/>
          <w:sz w:val="24"/>
          <w:szCs w:val="24"/>
        </w:rPr>
        <w:t xml:space="preserve"> face severe habitat contractions as they </w:t>
      </w:r>
      <w:proofErr w:type="gramStart"/>
      <w:r w:rsidRPr="00B14CCC">
        <w:rPr>
          <w:rFonts w:ascii="Times New Roman" w:eastAsia="Times New Roman" w:hAnsi="Times New Roman" w:cs="Times New Roman"/>
          <w:sz w:val="24"/>
          <w:szCs w:val="24"/>
        </w:rPr>
        <w:t>migrate</w:t>
      </w:r>
      <w:proofErr w:type="gramEnd"/>
      <w:r w:rsidRPr="00B14CCC">
        <w:rPr>
          <w:rFonts w:ascii="Times New Roman" w:eastAsia="Times New Roman" w:hAnsi="Times New Roman" w:cs="Times New Roman"/>
          <w:sz w:val="24"/>
          <w:szCs w:val="24"/>
        </w:rPr>
        <w:t xml:space="preserve"> upslope while encountering diminishing land area and ultimately reaching mountain summits beyond which no suitable habitat exists. Studies employing species distribution modeling project that between 60% and 80% of high-altitude Himalayan medicinal plants could experience range reductions exceeding 50% under moderate warming scenarios of 2°C to 3°C (Telwala et al., 2013).</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Traditional healers in Himalayan communities have provided detailed testimony regarding medicinal plant changes observed over their lifetimes. Amchi practitioners of Tibetan medicine in Ladakh and Bhutan report increasing difficulty locating certain medicinal plants that previously grew abundantly in accessible locations. Many high-value medicinal plants now require traveling to higher elevations or more remote areas, increasing harvesting effort and reducing access for communities. Phenological observations by indigenous practitioners indicate that flowering and fruiting times have advanced by two to three weeks for many species, disrupting traditional collection calendars. Some practitioners report changes in plant potency, with medicinal preparations requiring larger quantities of plant material to achieve therapeutic effects comparable to those obtained in previous generations.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 xml:space="preserve">The combination of climate change with existing threats from overexploitation and habitat conversion creates compounding pressures on Himalayan medicinal plants. High-value species such as </w:t>
      </w:r>
      <w:r w:rsidRPr="00B14CCC">
        <w:rPr>
          <w:rFonts w:ascii="Times New Roman" w:eastAsia="Times New Roman" w:hAnsi="Times New Roman" w:cs="Times New Roman"/>
          <w:i/>
          <w:iCs/>
          <w:sz w:val="24"/>
          <w:szCs w:val="24"/>
        </w:rPr>
        <w:t>Cordyceps sinensis</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Panax pseudoginseng</w:t>
      </w:r>
      <w:r w:rsidRPr="00B14CCC">
        <w:rPr>
          <w:rFonts w:ascii="Times New Roman" w:eastAsia="Times New Roman" w:hAnsi="Times New Roman" w:cs="Times New Roman"/>
          <w:sz w:val="24"/>
          <w:szCs w:val="24"/>
        </w:rPr>
        <w:t xml:space="preserve">, and various </w:t>
      </w:r>
      <w:r w:rsidRPr="00B14CCC">
        <w:rPr>
          <w:rFonts w:ascii="Times New Roman" w:eastAsia="Times New Roman" w:hAnsi="Times New Roman" w:cs="Times New Roman"/>
          <w:i/>
          <w:iCs/>
          <w:sz w:val="24"/>
          <w:szCs w:val="24"/>
        </w:rPr>
        <w:t>Fritillaria</w:t>
      </w:r>
      <w:r w:rsidRPr="00B14CCC">
        <w:rPr>
          <w:rFonts w:ascii="Times New Roman" w:eastAsia="Times New Roman" w:hAnsi="Times New Roman" w:cs="Times New Roman"/>
          <w:sz w:val="24"/>
          <w:szCs w:val="24"/>
        </w:rPr>
        <w:t xml:space="preserve"> species face intensive commercial harvesting driven by demand in international herbal medicine markets. Climate change reduces the regenerative capacity of these populations while economic pressures maintain or increase harvesting intensity, creating unsustainable trajectories. Conservation efforts in the region increasingly recognize the need for integrated approaches combining climate adaptation, sustainable harvest management, and support for traditional knowledge transmission.</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b/>
          <w:bCs/>
          <w:sz w:val="24"/>
          <w:szCs w:val="24"/>
        </w:rPr>
        <w:t>Amazon Basin:</w:t>
      </w:r>
      <w:r w:rsidRPr="00B14CCC">
        <w:rPr>
          <w:rFonts w:ascii="Times New Roman" w:eastAsia="Times New Roman" w:hAnsi="Times New Roman" w:cs="Times New Roman"/>
          <w:sz w:val="24"/>
          <w:szCs w:val="24"/>
        </w:rPr>
        <w:t xml:space="preserve"> The Amazon rainforest supports the world's greatest concentration of plant diversity, with indigenous groups having developed extraordinarily sophisticated medicinal plant knowledge over millennia. More than 350 indigenous ethnic groups inhabit the Amazon, collectively utilizing thousands of plant species for medicinal purposes. The region faces multiple climate change impacts including rising temperatures, altered precipitation patterns with increased seasonality, and more frequent and severe droughts. Climate models project further warming of 2°C to 4°C by the end of the century, with precipitation changes showing high uncertainty but many models indicating drying trends, particularly in the southeastern Amazon (Lovejoy &amp; Nobre, 2018).</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Evidence indicates that climate change combined with deforestation may be pushing the Amazon toward a critical tipping point beyond which large areas could transition from rainforest to savanna-like vegetation. This transformation would represent catastrophic loss of medicinal plant diversity and indigenous knowledge systems. Research has documented declining resilience of Amazon forests through analysis of satellite data showing increased recovery times following disturbances and greater sensitivity to drought events. The severe droughts of </w:t>
      </w:r>
      <w:proofErr w:type="gramStart"/>
      <w:r w:rsidRPr="00B14CCC">
        <w:rPr>
          <w:rFonts w:ascii="Times New Roman" w:eastAsia="Times New Roman" w:hAnsi="Times New Roman" w:cs="Times New Roman"/>
          <w:sz w:val="24"/>
          <w:szCs w:val="24"/>
        </w:rPr>
        <w:t>2005,</w:t>
      </w:r>
      <w:proofErr w:type="gramEnd"/>
      <w:r w:rsidRPr="00B14CCC">
        <w:rPr>
          <w:rFonts w:ascii="Times New Roman" w:eastAsia="Times New Roman" w:hAnsi="Times New Roman" w:cs="Times New Roman"/>
          <w:sz w:val="24"/>
          <w:szCs w:val="24"/>
        </w:rPr>
        <w:t xml:space="preserve"> 2010, and 2015-2016 caused widespread tree mortality and provided concerning previews of potential future conditions under continued warming.</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Indigenous communities throughout the Amazon report observable changes in medicinal plant distributions, abundances, and characteristics. Detailed ethnobotanical research with Kichwa communities in Ecuador documented perceptions of medicinal plant declines attributed to changing rainfall patterns and increased temperatures. Traditional healers reported that certain bark and root medicines now have reduced potency, requiring larger quantities for effective treatment. Some medicinal plants that previously grew near villages now require traveling deeper into forests, increasing collection labor and reducing access for elderly practitioners and community members with mobility limitations.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The Amazon case illustrates complex interactions between climate change, land use change, and cultural disruption affecting traditional medicine systems. Many indigenous communities face pressures from resource extraction, agricultural expansion, and infrastructure development that cause direct habitat loss while also disrupting traditional governance systems and territorial control essential for sustainable medicinal plant management. Climate change compounds these pressures while also driving migration and livelihood changes that reduce engagement with traditional practices. Young people increasingly move to urban areas </w:t>
      </w:r>
      <w:r w:rsidRPr="00B14CCC">
        <w:rPr>
          <w:rFonts w:ascii="Times New Roman" w:eastAsia="Times New Roman" w:hAnsi="Times New Roman" w:cs="Times New Roman"/>
          <w:sz w:val="24"/>
          <w:szCs w:val="24"/>
        </w:rPr>
        <w:lastRenderedPageBreak/>
        <w:t>for education and employment, creating demographic shifts that interrupt knowledge transmission chains.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b/>
          <w:bCs/>
          <w:sz w:val="24"/>
          <w:szCs w:val="24"/>
        </w:rPr>
        <w:t>Arctic and Subarctic Regions:</w:t>
      </w:r>
      <w:r w:rsidRPr="00B14CCC">
        <w:rPr>
          <w:rFonts w:ascii="Times New Roman" w:eastAsia="Times New Roman" w:hAnsi="Times New Roman" w:cs="Times New Roman"/>
          <w:sz w:val="24"/>
          <w:szCs w:val="24"/>
        </w:rPr>
        <w:t xml:space="preserve"> Indigenous peoples of circumpolar regions including Inuit, Yupik, Sámi, and numerous Siberian ethnic groups have developed medicinal plant traditions adapted to extreme high-latitude conditions where plant diversity is limited but species present are culturally significant and carefully utilized. Arctic regions are experiencing the most rapid climate warming globally, with temperatures increasing at approximately twice the global average rate. These temperature changes are driving pronounced ecosystem transformations including earlier spring snowmelt, longer growing seasons, permafrost thaw, shrub expansion into tundra, and northward treeline advance.</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Traditional medicinal plants of Arctic peoples include species such as </w:t>
      </w:r>
      <w:r w:rsidRPr="00B14CCC">
        <w:rPr>
          <w:rFonts w:ascii="Times New Roman" w:eastAsia="Times New Roman" w:hAnsi="Times New Roman" w:cs="Times New Roman"/>
          <w:i/>
          <w:iCs/>
          <w:sz w:val="24"/>
          <w:szCs w:val="24"/>
        </w:rPr>
        <w:t>Rhodiola rosea</w:t>
      </w:r>
      <w:r w:rsidRPr="00B14CCC">
        <w:rPr>
          <w:rFonts w:ascii="Times New Roman" w:eastAsia="Times New Roman" w:hAnsi="Times New Roman" w:cs="Times New Roman"/>
          <w:sz w:val="24"/>
          <w:szCs w:val="24"/>
        </w:rPr>
        <w:t xml:space="preserve"> (roseroot), </w:t>
      </w:r>
      <w:r w:rsidRPr="00B14CCC">
        <w:rPr>
          <w:rFonts w:ascii="Times New Roman" w:eastAsia="Times New Roman" w:hAnsi="Times New Roman" w:cs="Times New Roman"/>
          <w:i/>
          <w:iCs/>
          <w:sz w:val="24"/>
          <w:szCs w:val="24"/>
        </w:rPr>
        <w:t>Empetrum nigrum</w:t>
      </w:r>
      <w:r w:rsidRPr="00B14CCC">
        <w:rPr>
          <w:rFonts w:ascii="Times New Roman" w:eastAsia="Times New Roman" w:hAnsi="Times New Roman" w:cs="Times New Roman"/>
          <w:sz w:val="24"/>
          <w:szCs w:val="24"/>
        </w:rPr>
        <w:t xml:space="preserve"> (crowberry), various </w:t>
      </w:r>
      <w:r w:rsidRPr="00B14CCC">
        <w:rPr>
          <w:rFonts w:ascii="Times New Roman" w:eastAsia="Times New Roman" w:hAnsi="Times New Roman" w:cs="Times New Roman"/>
          <w:i/>
          <w:iCs/>
          <w:sz w:val="24"/>
          <w:szCs w:val="24"/>
        </w:rPr>
        <w:t>Salix</w:t>
      </w:r>
      <w:r w:rsidRPr="00B14CCC">
        <w:rPr>
          <w:rFonts w:ascii="Times New Roman" w:eastAsia="Times New Roman" w:hAnsi="Times New Roman" w:cs="Times New Roman"/>
          <w:sz w:val="24"/>
          <w:szCs w:val="24"/>
        </w:rPr>
        <w:t xml:space="preserve"> species (willows), </w:t>
      </w:r>
      <w:r w:rsidRPr="00B14CCC">
        <w:rPr>
          <w:rFonts w:ascii="Times New Roman" w:eastAsia="Times New Roman" w:hAnsi="Times New Roman" w:cs="Times New Roman"/>
          <w:i/>
          <w:iCs/>
          <w:sz w:val="24"/>
          <w:szCs w:val="24"/>
        </w:rPr>
        <w:t>Rubus chamaemorus</w:t>
      </w:r>
      <w:r w:rsidRPr="00B14CCC">
        <w:rPr>
          <w:rFonts w:ascii="Times New Roman" w:eastAsia="Times New Roman" w:hAnsi="Times New Roman" w:cs="Times New Roman"/>
          <w:sz w:val="24"/>
          <w:szCs w:val="24"/>
        </w:rPr>
        <w:t xml:space="preserve"> (cloudberry), and </w:t>
      </w:r>
      <w:r w:rsidRPr="00B14CCC">
        <w:rPr>
          <w:rFonts w:ascii="Times New Roman" w:eastAsia="Times New Roman" w:hAnsi="Times New Roman" w:cs="Times New Roman"/>
          <w:i/>
          <w:iCs/>
          <w:sz w:val="24"/>
          <w:szCs w:val="24"/>
        </w:rPr>
        <w:t>Angelica archangelica</w:t>
      </w:r>
      <w:r w:rsidRPr="00B14CCC">
        <w:rPr>
          <w:rFonts w:ascii="Times New Roman" w:eastAsia="Times New Roman" w:hAnsi="Times New Roman" w:cs="Times New Roman"/>
          <w:sz w:val="24"/>
          <w:szCs w:val="24"/>
        </w:rPr>
        <w:t>. These plants serve not only medicinal functions but also provide essential nutrients in harsh environments where plant-based food sources are limited. Climate-induced changes in plant phenology, distribution, and abundance therefore affect both healthcare and nutrition security. Research with Inuit communities across the Arctic has documented widespread observations of vegetation changes including the appearance of shrubs and trees in areas that were previously tundra, altered berry production patterns, and changes in the timing and characteristics of traditionally important plants (Pearce et al., 2015).</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Sámi reindeer herders in Scandinavia report significant changes in plant communities that affect both reindeer forage and medicinal plants. Warmer temperatures and altered snow conditions are changing the distribution and accessibility of lichens that comprise essential winter reindeer food, while also affecting the seasonal availability of medicinal plants traditionally collected during reindeer migrations. The close relationship between reindeer herding practices and seasonal plant harvesting means that climate-induced disruptions to one system affect the other, creating compounding challenges for traditional Sámi livelihoods and cultural practices.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Arctic case demonstrates particular vulnerability arising from limited species pools and restricted options for species migration. Unlike lower latitude mountain systems where plants can potentially migrate to higher elevations, Arctic species already exist at the northern limit of terrestrial ecosystems with no further north to migrate. Range expansions of shrubs and trees from southern latitudes may displace tundra plant communities including medicinal species adapted to open, cold conditions. The cultural identity of Arctic indigenous peoples is intimately connected to the distinctive ecosystems they inhabit, and transformations of these landscapes driven by climate change threaten cultural continuity alongside medicinal plant resources.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b/>
          <w:bCs/>
          <w:sz w:val="24"/>
          <w:szCs w:val="24"/>
        </w:rPr>
        <w:t>African Highlands:</w:t>
      </w:r>
      <w:r w:rsidRPr="00B14CCC">
        <w:rPr>
          <w:rFonts w:ascii="Times New Roman" w:eastAsia="Times New Roman" w:hAnsi="Times New Roman" w:cs="Times New Roman"/>
          <w:sz w:val="24"/>
          <w:szCs w:val="24"/>
        </w:rPr>
        <w:t xml:space="preserve"> Mountain systems in eastern and southern Africa including the Ethiopian Highlands, Mount Kenya, Mount Kilimanjaro, and the Drakensberg Mountains support distinctive medicinal plant floras utilized by indigenous and traditional communities. </w:t>
      </w:r>
      <w:r w:rsidRPr="00B14CCC">
        <w:rPr>
          <w:rFonts w:ascii="Times New Roman" w:eastAsia="Times New Roman" w:hAnsi="Times New Roman" w:cs="Times New Roman"/>
          <w:sz w:val="24"/>
          <w:szCs w:val="24"/>
        </w:rPr>
        <w:lastRenderedPageBreak/>
        <w:t>These regions face pronounced climate change impacts with warming trends particularly evident at high elevations. Tropical montane cloud forests, which provide critical habitat for many medicinal plant species, are experiencing upward shifts in cloud formation elevation that dry previously moist ecosystems and threaten cloud forest-dependent species.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Research on Ethiopian medicinal plants found that climate change is driving shifts in cultivation zones for medicinal crops while wild populations face range contractions. Traditional healers in Ethiopia report increased difficulty locating medicinal plants that grow in specific microclimates, particularly species requiring cool, moist conditions. The Ethiopian Orthodox Church maintains traditional gardens at monasteries where medicinal and spiritual plants are cultivated, and monks responsible for these collections report that climate changes are affecting plant growth and survival, requiring adjustments to cultivation practices developed over centuries.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In South Africa, research on medicinal plants utilized by traditional healers found that approximately 45% of assessed species could lose more than 80% of climatically suitable habitat by 2050 under mid-range emission scenarios. Species of particular concern include </w:t>
      </w:r>
      <w:r w:rsidRPr="00B14CCC">
        <w:rPr>
          <w:rFonts w:ascii="Times New Roman" w:eastAsia="Times New Roman" w:hAnsi="Times New Roman" w:cs="Times New Roman"/>
          <w:i/>
          <w:iCs/>
          <w:sz w:val="24"/>
          <w:szCs w:val="24"/>
        </w:rPr>
        <w:t>Warburgia salutaris</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Prunus africana</w:t>
      </w:r>
      <w:r w:rsidRPr="00B14CCC">
        <w:rPr>
          <w:rFonts w:ascii="Times New Roman" w:eastAsia="Times New Roman" w:hAnsi="Times New Roman" w:cs="Times New Roman"/>
          <w:sz w:val="24"/>
          <w:szCs w:val="24"/>
        </w:rPr>
        <w:t xml:space="preserve">, and various </w:t>
      </w:r>
      <w:r w:rsidRPr="00B14CCC">
        <w:rPr>
          <w:rFonts w:ascii="Times New Roman" w:eastAsia="Times New Roman" w:hAnsi="Times New Roman" w:cs="Times New Roman"/>
          <w:i/>
          <w:iCs/>
          <w:sz w:val="24"/>
          <w:szCs w:val="24"/>
        </w:rPr>
        <w:t>Aloe</w:t>
      </w:r>
      <w:r w:rsidRPr="00B14CCC">
        <w:rPr>
          <w:rFonts w:ascii="Times New Roman" w:eastAsia="Times New Roman" w:hAnsi="Times New Roman" w:cs="Times New Roman"/>
          <w:sz w:val="24"/>
          <w:szCs w:val="24"/>
        </w:rPr>
        <w:t xml:space="preserve"> species that face both climate change and harvesting pressures driven by commercial trade. Traditional healers, known as sangomas and inyangas in South Africa, report observable declines in medicinal plant populations and express concern about the sustainability of their practice given multiple threats to plant resources.</w:t>
      </w:r>
    </w:p>
    <w:p w:rsidR="0045421A" w:rsidRPr="00B14CCC" w:rsidRDefault="0045421A"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4.5 Adaptation Strategies and Community Responses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Despite the severity of climate change threats, indigenous communities demonstrate remarkable adaptive capacity and are implementing diverse strategies to sustain traditional healing systems under changing conditions. These adaptation responses range from modifications to harvesting practices and cultivation of previously wild species to active engagement with conservation initiatives and assertion of territorial rights essential for maintaining access to medicinal plant resources. Understanding these adaptation strategies provides essential insights for supporting indigenous resilience and developing effective conservation frameworks.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Traditional ecological knowledge systems possess inherent adaptive capacity developed through millennia of responding to environmental variability. Indigenous observation of environmental change, hypothesis formation regarding causes and consequences, and experimentation with novel responses comprise ongoing processes that enable adaptation to unprecedented conditions. Communities across diverse regions report actively monitoring climate change impacts on medicinal plants and adjusting practices accordingly. These adjustments include shifting the timing of plant collection to correspond with altered phenologies, traveling to different locations or elevations to locate species that have moved, and modifying preparation methods to compensate for changes in plant characteristics.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Cultivation and domestication of previously wild medicinal plants represents an increasingly common adaptation strategy. When wild populations become scarce or difficult to access due </w:t>
      </w:r>
      <w:r w:rsidRPr="00B14CCC">
        <w:rPr>
          <w:rFonts w:ascii="Times New Roman" w:eastAsia="Times New Roman" w:hAnsi="Times New Roman" w:cs="Times New Roman"/>
          <w:sz w:val="24"/>
          <w:szCs w:val="24"/>
        </w:rPr>
        <w:lastRenderedPageBreak/>
        <w:t xml:space="preserve">to climate-induced range shifts, communities may establish gardens or managed plots where important medicinal species are cultivated closer to settlements. This strategy provides several benefits including reduced harvesting pressure on wild populations, more reliable access to medicinal resources, and opportunities for experimentation with cultivation techniques and selection of favorable plant characteristics. Research from Himalayan communities has documented expanding cultivation of medicinal plants such as </w:t>
      </w:r>
      <w:r w:rsidRPr="00B14CCC">
        <w:rPr>
          <w:rFonts w:ascii="Times New Roman" w:eastAsia="Times New Roman" w:hAnsi="Times New Roman" w:cs="Times New Roman"/>
          <w:i/>
          <w:iCs/>
          <w:sz w:val="24"/>
          <w:szCs w:val="24"/>
        </w:rPr>
        <w:t>Swertia chirayita</w:t>
      </w:r>
      <w:r w:rsidRPr="00B14CCC">
        <w:rPr>
          <w:rFonts w:ascii="Times New Roman" w:eastAsia="Times New Roman" w:hAnsi="Times New Roman" w:cs="Times New Roman"/>
          <w:sz w:val="24"/>
          <w:szCs w:val="24"/>
        </w:rPr>
        <w:t xml:space="preserve">, </w:t>
      </w:r>
      <w:r w:rsidRPr="00B14CCC">
        <w:rPr>
          <w:rFonts w:ascii="Times New Roman" w:eastAsia="Times New Roman" w:hAnsi="Times New Roman" w:cs="Times New Roman"/>
          <w:i/>
          <w:iCs/>
          <w:sz w:val="24"/>
          <w:szCs w:val="24"/>
        </w:rPr>
        <w:t>Rheum emodi</w:t>
      </w:r>
      <w:r w:rsidRPr="00B14CCC">
        <w:rPr>
          <w:rFonts w:ascii="Times New Roman" w:eastAsia="Times New Roman" w:hAnsi="Times New Roman" w:cs="Times New Roman"/>
          <w:sz w:val="24"/>
          <w:szCs w:val="24"/>
        </w:rPr>
        <w:t xml:space="preserve">, and </w:t>
      </w:r>
      <w:r w:rsidRPr="00B14CCC">
        <w:rPr>
          <w:rFonts w:ascii="Times New Roman" w:eastAsia="Times New Roman" w:hAnsi="Times New Roman" w:cs="Times New Roman"/>
          <w:i/>
          <w:iCs/>
          <w:sz w:val="24"/>
          <w:szCs w:val="24"/>
        </w:rPr>
        <w:t>Valeriana jatamansi</w:t>
      </w:r>
      <w:r w:rsidRPr="00B14CCC">
        <w:rPr>
          <w:rFonts w:ascii="Times New Roman" w:eastAsia="Times New Roman" w:hAnsi="Times New Roman" w:cs="Times New Roman"/>
          <w:sz w:val="24"/>
          <w:szCs w:val="24"/>
        </w:rPr>
        <w:t xml:space="preserve"> as wild populations decline and access becomes more challenging (Kala, 2006).</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However, cultivation also presents challenges and limitations. Some medicinal plants possess complex ecological requirements or life history characteristics that make cultivation difficult or impossible with current knowledge and resources. The environmental conditions under cultivation may differ from natural habitats in ways that affect phytochemical composition, potentially altering medicinal efficacy. Traditional beliefs may also create barriers to cultivation if certain plants are understood as possessing sacred or wild characteristics that would be inappropriate to domesticate. Furthermore, cultivation requires land, labor, water, and other resources that may be limited in indigenous communities facing multiple livelihood pressures.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Species substitution represents another adaptation strategy wherein alternative plant species are used to replace depleted or unavailable traditional medicinal plants. Traditional knowledge often includes understanding of multiple species with similar therapeutic properties, providing flexibility when specific plants become scarce. Practitioners may employ species that were previously considered less preferred but are more available under changed conditions. This strategy maintains therapeutic functions while accommodating altered plant availability. Research on traditional medicine adaptation in southern Africa documented that approximately 30% of surveyed traditional healers reported substituting alternative plant species for primary medicinal plants that had become difficult to obtain (Williams et al., 2013).</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Species substitution carries risks, however, as alternative plants may have different potencies, side effects, or contraindications compared to traditional choices. The accumulated knowledge regarding proper dosing, preparation, and applications has been refined through long experience with specific species and may not directly transfer to substitutes. Patients may also express skepticism or resistance to substitutions if traditional plants are considered uniquely efficacious or culturally appropriate. Careful evaluation and testing of substitute species requires time and expertise, and rapid forced substitutions driven by climate-induced scarcity may not allow adequate assessment of therapeutic equivalence.</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Community-based monitoring represents an emerging strategy that combines traditional observation with more formalized data collection to track medicinal plant populations and environmental changes. Some indigenous communities are establishing monitoring protocols that document plant phenology, population sizes, distributions, and perceived changes over time. These initiatives serve multiple functions including generating evidence to support conservation advocacy, providing early warning of population declines that may require </w:t>
      </w:r>
      <w:r w:rsidRPr="00B14CCC">
        <w:rPr>
          <w:rFonts w:ascii="Times New Roman" w:eastAsia="Times New Roman" w:hAnsi="Times New Roman" w:cs="Times New Roman"/>
          <w:sz w:val="24"/>
          <w:szCs w:val="24"/>
        </w:rPr>
        <w:lastRenderedPageBreak/>
        <w:t>intervention, and engaging youth in documenting traditional knowledge. When monitoring incorporates both traditional knowledge and scientific methods, it can produce rich datasets valuable for research and conservation planning.</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Several examples of community-based monitoring initiatives demonstrate their potential. In the Peruvian Amazon, indigenous organizations have developed participatory monitoring systems documenting medicinal plant harvests, forest conditions, and observed environmental changes. Inuit communities in northern Canada have collaborated with researchers to document observations of vegetation changes, unusual weather events, and wildlife shifts through initiatives such as the SIKU (sea ice knowledge and use) platform that combines traditional knowledge with modern mapping technologies. These efforts demonstrate how indigenous peoples are asserting agency in documenting and responding to climate change rather than serving merely as subjects of external research.</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Political advocacy and assertion of territorial rights comprise another crucial dimension of indigenous adaptation strategies. Secure land tenure enables indigenous communities to implement long-term conservation and management strategies for medicinal plant resources while exercising traditional governance systems. Indigenous territorial rights movements globally have achieved significant legal and political victories establishing indigenous authority over ancestral lands. Research has demonstrated that indigenous-managed territories often maintain biodiversity levels equal to or exceeding nearby protected areas while supporting indigenous livelihoods and cultural practices (Garnett et al., 2018).</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relationship between indigenous rights and conservation effectiveness creates opportunities for climate change adaptation approaches that support both indigenous self-determination and medicinal plant conservation. Recognizing indigenous land rights, supporting indigenous governance systems, and ensuring indigenous participation in decision-making regarding natural resource management comprise essential strategies for maintaining the social-ecological systems within which traditional healing practices function. Conservation initiatives that fail to respect indigenous rights or that exclude indigenous peoples from decision-making processes risk exacerbating vulnerabilities while undermining conservation outcomes.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Collaboration between indigenous communities, researchers, and conservation organizations represents another important adaptation pathway. When such collaborations are structured with appropriate respect for indigenous knowledge protocols, equitable </w:t>
      </w:r>
      <w:proofErr w:type="gramStart"/>
      <w:r w:rsidRPr="00B14CCC">
        <w:rPr>
          <w:rFonts w:ascii="Times New Roman" w:eastAsia="Times New Roman" w:hAnsi="Times New Roman" w:cs="Times New Roman"/>
          <w:sz w:val="24"/>
          <w:szCs w:val="24"/>
        </w:rPr>
        <w:t>benefit-sharing,</w:t>
      </w:r>
      <w:proofErr w:type="gramEnd"/>
      <w:r w:rsidRPr="00B14CCC">
        <w:rPr>
          <w:rFonts w:ascii="Times New Roman" w:eastAsia="Times New Roman" w:hAnsi="Times New Roman" w:cs="Times New Roman"/>
          <w:sz w:val="24"/>
          <w:szCs w:val="24"/>
        </w:rPr>
        <w:t xml:space="preserve"> and indigenous leadership, they can generate valuable outcomes including scientific documentation of medicinal plants, assessment of conservation status and threats, development of sustainable management plans, and support for knowledge transmission to younger generations. Successful examples include the Healing Forest Conservancy's work with indigenous communities in Central America to conserve medicinal plant resources while supporting traditional healing practices, and various research partnerships between botanical institutions and indigenous groups documenting ethnobotanical knowledge.</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However, collaborative initiatives must navigate complex ethical terrain. Historical patterns of extraction of indigenous knowledge and biological resources without adequate compensation or recognition have created justified skepticism regarding research relationships. The Nagoya Protocol provides international legal framework for access and benefit-sharing, but implementation remains inconsistent across jurisdictions. Truly equitable collaboration requires sustained commitment to indigenous intellectual property rights, free prior informed consent processes, meaningful indigenous participation in research design and governance, and sharing of benefits including authorship, financial compensation, and capacity building.</w:t>
      </w:r>
    </w:p>
    <w:p w:rsidR="0045421A" w:rsidRPr="00B14CCC" w:rsidRDefault="0045421A"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 xml:space="preserve">4.6 Phytochemical Changes </w:t>
      </w:r>
      <w:proofErr w:type="gramStart"/>
      <w:r w:rsidRPr="00B14CCC">
        <w:rPr>
          <w:rFonts w:ascii="Times New Roman" w:eastAsia="Times New Roman" w:hAnsi="Times New Roman" w:cs="Times New Roman"/>
          <w:b/>
          <w:bCs/>
          <w:sz w:val="24"/>
          <w:szCs w:val="24"/>
        </w:rPr>
        <w:t>Under</w:t>
      </w:r>
      <w:proofErr w:type="gramEnd"/>
      <w:r w:rsidRPr="00B14CCC">
        <w:rPr>
          <w:rFonts w:ascii="Times New Roman" w:eastAsia="Times New Roman" w:hAnsi="Times New Roman" w:cs="Times New Roman"/>
          <w:b/>
          <w:bCs/>
          <w:sz w:val="24"/>
          <w:szCs w:val="24"/>
        </w:rPr>
        <w:t xml:space="preserve"> Climate Stress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relationship between climate change and medicinal plant phytochemistry represents a critical dimension of impacts that receives insufficient attention in conservation discourse focused primarily on population and distribution changes. The therapeutic efficacy of medicinal plants derives from their secondary metabolites—compounds produced through specialized biochemical pathways that serve ecological functions such as defense against herbivores, pathogens, and environmental stresses. These same compounds confer medicinal properties when utilized by humans. Climate change affects the production, concentration, and composition of secondary metabolites through multiple mechanisms, with profound implications for the continued utility of medicinal plants even where species populations persist.</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Temperature directly influences the activity of enzymes catalyzing secondary metabolite biosynthesis, with optimal temperature ranges for different enzymatic reactions. Warming beyond these optima can reduce metabolite production, alter relative concentrations of different compounds, or shift metabolic pathways toward production of different compound classes. Research examining temperature effects on medicinal plant phytochemistry has yielded complex, species-specific results. A comprehensive study by Ramakrishna and Ravishankar (2011) reviewed temperature impacts on medicinal plant secondary metabolism, finding that moderate temperature increases sometimes enhanced certain alkaloid, terpenoid, and phenolic compound concentrations, while excessive heat typically caused declines in most compound classes.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Water availability represents another critical environmental factor regulating secondary metabolite production, with many medicinal compounds showing increased concentrations under moderate drought stress. This phenomenon reflects the adaptive value of many secondary metabolites as stress-response compounds. The "growth-differentiation balance hypothesis" proposes that plants allocate resources between growth and defense based on resource availability, with stress conditions favoring defense compound production (Herms &amp; Mattson, 1992). However, severe water stress exceeds plants' tolerance limits and disrupts metabolic functions, generally reducing secondary metabolite concentrations. Climate change is altering precipitation patterns in complex ways, with some regions experiencing increased water stress while others face flooding or altered seasonality of precipitation, creating varied impacts on medicinal plant phytochemistry across geographical regions.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 xml:space="preserve">Empirical research examining climate-induced phytochemical changes in specific medicinal plants provides concrete evidence of these phenomena. Studies on </w:t>
      </w:r>
      <w:r w:rsidRPr="00B14CCC">
        <w:rPr>
          <w:rFonts w:ascii="Times New Roman" w:eastAsia="Times New Roman" w:hAnsi="Times New Roman" w:cs="Times New Roman"/>
          <w:i/>
          <w:iCs/>
          <w:sz w:val="24"/>
          <w:szCs w:val="24"/>
        </w:rPr>
        <w:t>Hypericum perforatum</w:t>
      </w:r>
      <w:r w:rsidRPr="00B14CCC">
        <w:rPr>
          <w:rFonts w:ascii="Times New Roman" w:eastAsia="Times New Roman" w:hAnsi="Times New Roman" w:cs="Times New Roman"/>
          <w:sz w:val="24"/>
          <w:szCs w:val="24"/>
        </w:rPr>
        <w:t xml:space="preserve"> (St. John's wort), widely used for treatment of mild to moderate depression, demonstrated that elevated growth temperatures reduced concentrations of hypericin and hyperforin—the plant's primary bioactive compounds—by 15% to 35% depending on temperature increase magnitude (Zobayed et al., 2007). Similarly, research on </w:t>
      </w:r>
      <w:r w:rsidRPr="00B14CCC">
        <w:rPr>
          <w:rFonts w:ascii="Times New Roman" w:eastAsia="Times New Roman" w:hAnsi="Times New Roman" w:cs="Times New Roman"/>
          <w:i/>
          <w:iCs/>
          <w:sz w:val="24"/>
          <w:szCs w:val="24"/>
        </w:rPr>
        <w:t>Salvia miltiorrhiza</w:t>
      </w:r>
      <w:r w:rsidRPr="00B14CCC">
        <w:rPr>
          <w:rFonts w:ascii="Times New Roman" w:eastAsia="Times New Roman" w:hAnsi="Times New Roman" w:cs="Times New Roman"/>
          <w:sz w:val="24"/>
          <w:szCs w:val="24"/>
        </w:rPr>
        <w:t>, an important traditional Chinese medicinal plant, found that drought stress initially increased production of tanshinones and phenolic compounds but prolonged severe drought reduced these metabolites below control levels (Xu et al., 2008).</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i/>
          <w:iCs/>
          <w:sz w:val="24"/>
          <w:szCs w:val="24"/>
        </w:rPr>
        <w:t>Artemisia annua</w:t>
      </w:r>
      <w:r w:rsidRPr="00B14CCC">
        <w:rPr>
          <w:rFonts w:ascii="Times New Roman" w:eastAsia="Times New Roman" w:hAnsi="Times New Roman" w:cs="Times New Roman"/>
          <w:sz w:val="24"/>
          <w:szCs w:val="24"/>
        </w:rPr>
        <w:t xml:space="preserve">, the source of artemisinin used in antimalarial treatments, has received extensive research attention regarding environmental influences on artemisinin production due to the global importance of malaria treatment. Studies demonstrate that artemisinin concentrations vary substantially with temperature, photoperiod, water availability, and nutrient status, with optimal production occurring under specific combinations of environmental conditions (Yadav et al., 2014). Climate change may alter the environmental conditions experienced by wild </w:t>
      </w:r>
      <w:r w:rsidRPr="00B14CCC">
        <w:rPr>
          <w:rFonts w:ascii="Times New Roman" w:eastAsia="Times New Roman" w:hAnsi="Times New Roman" w:cs="Times New Roman"/>
          <w:i/>
          <w:iCs/>
          <w:sz w:val="24"/>
          <w:szCs w:val="24"/>
        </w:rPr>
        <w:t>A. annua</w:t>
      </w:r>
      <w:r w:rsidRPr="00B14CCC">
        <w:rPr>
          <w:rFonts w:ascii="Times New Roman" w:eastAsia="Times New Roman" w:hAnsi="Times New Roman" w:cs="Times New Roman"/>
          <w:sz w:val="24"/>
          <w:szCs w:val="24"/>
        </w:rPr>
        <w:t xml:space="preserve"> populations in ways that reduce artemisinin content, with implications for traditional use and cultivated production systems.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Research on </w:t>
      </w:r>
      <w:r w:rsidRPr="00B14CCC">
        <w:rPr>
          <w:rFonts w:ascii="Times New Roman" w:eastAsia="Times New Roman" w:hAnsi="Times New Roman" w:cs="Times New Roman"/>
          <w:i/>
          <w:iCs/>
          <w:sz w:val="24"/>
          <w:szCs w:val="24"/>
        </w:rPr>
        <w:t>Catharanthus roseus</w:t>
      </w:r>
      <w:r w:rsidRPr="00B14CCC">
        <w:rPr>
          <w:rFonts w:ascii="Times New Roman" w:eastAsia="Times New Roman" w:hAnsi="Times New Roman" w:cs="Times New Roman"/>
          <w:sz w:val="24"/>
          <w:szCs w:val="24"/>
        </w:rPr>
        <w:t xml:space="preserve"> (Madagascar periwinkle), source of the anticancer compounds vincristine and vinblastine, revealed that both drought and heat stress affected alkaloid production, with effects varying for different alkaloid types. Moderate water stress increased concentrations of certain alkaloids while reducing others, illustrating the complexity of stress responses and the challenges in predicting climate change impacts on medicinal efficacy (Jaleel et al., 2008). Such compound-specific responses mean that climate change may alter the therapeutic profiles of medicinal plants in ways that are difficult to anticipate without detailed biochemical research on individual species and compounds.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implications of phytochemical changes for traditional medicine practice are profound yet remain largely unquantified. Traditional dosing and preparation protocols have been developed through long experience with plants grown under historical climate conditions. If climate change alters phytochemical concentrations, traditional dosing may result in under-treatment (if compound concentrations decline) or increased side effects (if some compounds increase while others decrease, altering ratios). Traditional healers who notice changes in medicinal efficacy may adjust preparation methods or dosing based on observation and experience, but such adjustments require time, careful attention, and potentially expose patients to risks during the learning process.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Furthermore, phytochemical variability among individuals, populations, and growing conditions has always existed, and traditional medicine systems have accommodated this variability through various mechanisms including organoleptic assessment (using taste, smell, and visual characteristics to evaluate plant quality), adjustable dosing, and combining multiple plant species whose effects may complement or buffer one another. Climate change may, however, push phytochemical variation outside the ranges that traditional systems can accommodate through these existing mechanisms. Research is urgently needed to assess </w:t>
      </w:r>
      <w:r w:rsidRPr="00B14CCC">
        <w:rPr>
          <w:rFonts w:ascii="Times New Roman" w:eastAsia="Times New Roman" w:hAnsi="Times New Roman" w:cs="Times New Roman"/>
          <w:sz w:val="24"/>
          <w:szCs w:val="24"/>
        </w:rPr>
        <w:lastRenderedPageBreak/>
        <w:t>climate-induced phytochemical changes across a broader range of medicinal plant species and to understand how traditional practitioners are observing and responding to such changes.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interaction between climate change and other environmental factors affecting phytochemistry deserves consideration. Soil nutrient availability, pollution exposure, and herbivory all influence secondary metabolite production and may interact with climate change in complex ways. Elevated atmospheric CO₂ has been shown to alter plant carbon-nitrogen balance, generally increasing carbohydrate production while sometimes diluting nitrogen-based compounds including certain alkaloids. These CO₂ effects may combine with temperature and water availability changes in additive, synergistic, or antagonistic ways depending on species and compounds.</w:t>
      </w:r>
    </w:p>
    <w:p w:rsidR="0045421A" w:rsidRPr="00B14CCC" w:rsidRDefault="0045421A"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4.7 Conservation Priorities and Integrated Management Frameworks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Developing effective conservation responses to climate change threats requires prioritization frameworks that identify species, regions, and systems facing greatest risk while possessing highest conservation value. Several factors contribute to conservation priority-setting including threat severity, species irreplaceability, cultural significance, and feasibility of conservation interventions. For medicinal plants utilized by indigenous communities, prioritization must incorporate both biological and cultural dimensions, recognizing that species with limited geographical distribution but profound cultural importance may warrant conservation investment disproportionate to their biodiversity significance alone.</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Montane medicinal plants emerge as a clear conservation priority given their demonstrated vulnerability to upward range shifts with limited available migration space. Species restricted to high elevation zones in mountains across the Himalayas, Andes, East African highlands, and other montane systems face severe extinction risks under continued warming. Prioritization within this category should emphasize endemic species with narrow ranges, species utilized extensively by indigenous communities with few substitutes available, and species possessing unique phytochemical profiles potentially valuable for drug development. Conservation strategies for montane medicinal plants must address climate connectivity, potentially including assisted migration to suitable high-elevation sites currently unoccupied, establishing ex-situ conservation collections, and supporting indigenous communities in cultivation and sustainable management.</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Arctic and subarctic medicinal plants constitute another priority group characterized by limited migration options and rapid climate change exposure. The cultural significance of these species to indigenous peoples of circumpolar regions, combined with the distinctive adaptations to extreme environments they possess, argues for conservation investment despite the relatively limited number of species involved. Conservation approaches should emphasize protecting habitat refugia likely to maintain suitable conditions under warming scenarios, documenting traditional knowledge while this information remains accessible, and supporting indigenous communities in adapting harvesting practices to altered plant distributions and phenologies.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Tropical rainforest medicinal plants represent a third priority category distinguished by extraordinary species diversity, high endemism, and interactions between climate change and deforestation threats. The Amazon, Congo Basin, and Southeast Asian rainforests harbor thousands of medicinal plant species, many poorly documented by science but well-known to indigenous communities. Conservation priorities in tropical regions must emphasize protecting large, intact forest landscapes that maintain ecosystem processes and climate regulation functions while providing resilience to warming and altered precipitation. Indigenous territorial rights and governance systems should be recognized and supported as essential conservation mechanisms that maintain both biological and cultural diversity.</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Island medicinal floras warrant special conservation attention due to high endemism, small population sizes, and particular vulnerability to climate change impacts including sea level rise, altered storm patterns, and invasion by non-native species. Many island cultures possess distinctive medicinal plant traditions adapted to the limited species available on islands. Climate change threatens both the biological diversity and cultural identity of island peoples. Conservation must emphasize protecting all suitable </w:t>
      </w:r>
      <w:proofErr w:type="gramStart"/>
      <w:r w:rsidRPr="00B14CCC">
        <w:rPr>
          <w:rFonts w:ascii="Times New Roman" w:eastAsia="Times New Roman" w:hAnsi="Times New Roman" w:cs="Times New Roman"/>
          <w:sz w:val="24"/>
          <w:szCs w:val="24"/>
        </w:rPr>
        <w:t>habitat</w:t>
      </w:r>
      <w:proofErr w:type="gramEnd"/>
      <w:r w:rsidRPr="00B14CCC">
        <w:rPr>
          <w:rFonts w:ascii="Times New Roman" w:eastAsia="Times New Roman" w:hAnsi="Times New Roman" w:cs="Times New Roman"/>
          <w:sz w:val="24"/>
          <w:szCs w:val="24"/>
        </w:rPr>
        <w:t>, preventing introduction of invasive species that may be favored under changing climate conditions, and establishing ex-situ conservation collections given the particular extinction risks facing island endemics.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Beyond species and regional priorities, conservation frameworks must address the social-ecological systems within which medicinal plants and traditional knowledge exist. Effective conservation requires maintaining not only plant populations but also the cultural practices, governance systems, and social relationships that enable sustainable use and knowledge transmission. This perspective aligns with biocultural conservation approaches that recognize the inseparability of biological and cultural diversity and advocate for integrated conservation strategies addressing both dimensions (Gavin et al., 2015).</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Integrated conservation frameworks should incorporate multiple complementary strategies including protected area establishment and management, community-based conservation, ex-situ conservation through seed banks and botanical gardens, restoration of degraded habitats, sustainable use management, and support for traditional knowledge transmission. Protected areas provide essential refuge for biodiversity but must be designed and managed with consideration for climate change, ideally incorporating ecological connectivity allowing species to migrate in response to shifting conditions. Traditional fixed-boundary protected areas may prove inadequate for climate adaptation, suggesting need for more flexible approaches including conservation corridors, stepping-stone habitat networks, and dynamic conservation zones that adjust as species distributions shift.</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Community-based conservation approaches recognize indigenous peoples and local communities as rights-holders and knowledge-holders essential for effective conservation. When communities possess secure land tenure, decision-making authority over natural resources, and support for traditional governance systems, conservation outcomes often exceed those achieved through external interventions. Community-based conservation can integrate traditional management practices such as rotational harvesting, taboos protecting certain species or areas, and customary regulations governing resource access with </w:t>
      </w:r>
      <w:r w:rsidRPr="00B14CCC">
        <w:rPr>
          <w:rFonts w:ascii="Times New Roman" w:eastAsia="Times New Roman" w:hAnsi="Times New Roman" w:cs="Times New Roman"/>
          <w:sz w:val="24"/>
          <w:szCs w:val="24"/>
        </w:rPr>
        <w:lastRenderedPageBreak/>
        <w:t>contemporary conservation tools including participatory monitoring, sustainable harvest planning, and ecosystem restoration. Successful examples span diverse regions including the Amazon, where indigenous territorial management has proven more effective than protected areas at preventing deforestation, and various African contexts where community conservancies integrate biodiversity conservation with sustainable livelihoods.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Ex-situ conservation through seed banks, living collections, and tissue culture provides insurance against extinction while preserving genetic resources potentially valuable for restoration, research, and sustainable use. Major initiatives such as the Millennium Seed Bank Partnership have collected seeds from thousands of plant species including many with medicinal properties. However, ex-situ conservation faces significant limitations including inability to maintain evolutionary processes, challenges storing recalcitrant seeds that cannot tolerate desiccation, and questions regarding genetic representativeness of collected samples. For medicinal plants, ex-situ conservation should prioritize species facing highest extinction risk, species of greatest cultural significance to indigenous communities, and species showing greatest phytochemical promise for pharmaceutical development. Ideally, ex-situ conservation operates in partnership with in-situ approaches, with banked genetic material available for restoration efforts when appropriate conditions exist.</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Policy frameworks at international, national, and local scales provide essential enabling conditions for medicinal plant conservation and support for traditional healing systems. The Convention on Biological Diversity and its Nagoya Protocol establish international legal foundations for biodiversity conservation and equitable sharing of benefits from genetic resource utilization. The United Nations Declaration on the Rights of Indigenous Peoples affirms indigenous rights to maintain cultural practices, control traditional knowledge, and exercise authority over traditionally owned territories. National policies must translate these international commitments into concrete protections for medicinal plant habitats and indigenous rights, while local governance systems require authority and resources to implement conservation and sustainable use measures.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However, significant gaps exist between policy commitments and implementation realities. Many countries with rich medicinal plant diversity and substantial indigenous populations lack adequate resources for conservation enforcement. Conflicts between conservation objectives and development pressures including resource extraction, agricultural expansion, and infrastructure projects undermine conservation effectiveness. Indigenous land rights remain contested or unrecognized in numerous jurisdictions despite international obligations. </w:t>
      </w:r>
      <w:proofErr w:type="gramStart"/>
      <w:r w:rsidRPr="00B14CCC">
        <w:rPr>
          <w:rFonts w:ascii="Times New Roman" w:eastAsia="Times New Roman" w:hAnsi="Times New Roman" w:cs="Times New Roman"/>
          <w:sz w:val="24"/>
          <w:szCs w:val="24"/>
        </w:rPr>
        <w:t>Strengthening implementation of existing policy frameworks while developing additional protections specifically addressing climate change threats to medicinal plants represents an essential conservation priority.</w:t>
      </w:r>
      <w:proofErr w:type="gramEnd"/>
    </w:p>
    <w:p w:rsidR="0045421A" w:rsidRPr="00B14CCC" w:rsidRDefault="0045421A"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5. Recommendations and Future Directions</w:t>
      </w:r>
    </w:p>
    <w:p w:rsidR="0045421A" w:rsidRPr="00B14CCC" w:rsidRDefault="0045421A"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5.1 Research Priorities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Addressing the knowledge gaps regarding climate change impacts on medicinal plants and traditional healing systems requires sustained, interdisciplinary research that integrates </w:t>
      </w:r>
      <w:r w:rsidRPr="00B14CCC">
        <w:rPr>
          <w:rFonts w:ascii="Times New Roman" w:eastAsia="Times New Roman" w:hAnsi="Times New Roman" w:cs="Times New Roman"/>
          <w:sz w:val="24"/>
          <w:szCs w:val="24"/>
        </w:rPr>
        <w:lastRenderedPageBreak/>
        <w:t>indigenous knowledge with scientific investigation. Priority research directions include comprehensive documentation of medicinal plant climate vulnerabilities across underrepresented geographical regions, detailed studies of climate-induced phytochemical changes, evaluation of adaptation strategy effectiveness, and development of predictive models enabling anticipatory conservation responses.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Geographical gaps in research are particularly pronounced for tropical regions harboring the greatest medicinal plant diversity yet receiving disproportionately limited scientific attention. Systematic surveys documenting medicinal plant species, their distributions, ecological requirements, population status, and utilization patterns are urgently needed across the Amazon, Congo Basin, Southeast Asian rainforests, and other poorly studied tropical areas. Such documentation should employ participatory methods respecting indigenous knowledge protocols while generating data valuable for conservation priority-setting and climate vulnerability assessment.</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Phytochemical research examining climate change impacts remains extremely limited despite the critical importance of medicinal efficacy for traditional medicine viability. Comprehensive studies are needed evaluating how temperature, water availability, atmospheric CO₂, and other climate variables affect secondary metabolite production across diverse medicinal plant species and compound classes. Such research should examine wild populations experiencing natural climate gradients and experimental studies manipulating climate variables, integrating biochemical analysis with traditional practitioner assessments of medicinal efficacy. Understanding climate-phytochemistry relationships enables prediction of future medicinal quality under different emission scenarios and identification of species facing particular risk of efficacy loss.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Long-term monitoring of medicinal plant populations, incorporating both scientific measurements and indigenous observations, provides essential data for detecting climate change impacts and evaluating adaptation responses. Establishing permanent monitoring plots across elevation gradients, latitudinal transects, and climate zones enables tracking of population dynamics, phenological changes, and distribution shifts over time. Integrating traditional ecological knowledge with scientific monitoring through collaborative approaches enriches datasets while building research capacity in indigenous communities and ensuring that research addresses community-identified priorities.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Research evaluating the effectiveness of different adaptation strategies helps identify approaches worthy of broader implementation and support. Rigorous assessment of cultivation success for previously wild medicinal plants, evaluation of species substitution strategies, and documentation of traditional adaptation responses provides evidence guiding conservation investments. Such research should employ participatory methods ensuring that indigenous communities define success criteria and that evaluation addresses cultural and spiritual dimensions alongside biological and economic outcomes.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Climate modeling research specifically focused on medicinal plant distributions remains limited but is essential for anticipatory conservation planning. Species distribution models </w:t>
      </w:r>
      <w:r w:rsidRPr="00B14CCC">
        <w:rPr>
          <w:rFonts w:ascii="Times New Roman" w:eastAsia="Times New Roman" w:hAnsi="Times New Roman" w:cs="Times New Roman"/>
          <w:sz w:val="24"/>
          <w:szCs w:val="24"/>
        </w:rPr>
        <w:lastRenderedPageBreak/>
        <w:t>projecting future suitable habitat under different climate scenarios enable identification of climate refugia, assessment of connectivity requirements for species migration, and evaluation of protected area effectiveness under climate change. Such modeling should incorporate not only climate variables but also land-use change projections, dispersal limitations, biotic interactions, and genetic diversity considerations affecting species' capacity to persist in novel climates.</w:t>
      </w:r>
    </w:p>
    <w:p w:rsidR="0045421A" w:rsidRPr="00B14CCC" w:rsidRDefault="0045421A"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5.2 Policy Recommendations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Effective policy responses must operate across scales from international agreements to local governance while recognizing the central importance of indigenous rights and participation. Key policy recommendations include strengthening implementation of existing international frameworks, developing climate-specific protections for medicinal plants, ensuring indigenous participation in decision-making, and integrating traditional and scientific knowledge in climate adaptation planning.</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International policy should prioritize full implementation of the Nagoya Protocol ensuring equitable benefit-sharing from medicinal plant genetic resources and associated traditional knowledge. Parties to the Convention on Biological Diversity must translate commitments into concrete national legislation with adequate enforcement mechanisms. The UN Framework Convention on Climate Change should explicitly recognize traditional healing systems among the human systems vulnerable to climate impacts, with specific provisions supporting indigenous adaptation to medicinal plant losses.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National policies must establish legal protections for critically threatened medicinal plant species through mechanisms such as endangered species listings, harvest restrictions, and habitat conservation requirements. Climate change adaptation plans should specifically address medicinal plant vulnerabilities and support for indigenous adaptive capacity. Agricultural, forestry, and land-use policies require review to ensure they do not inadvertently increase pressures on medicinal plant habitats. National healthcare policies should recognize traditional medicine as essential primary healthcare particularly for rural and indigenous populations, with support for maintaining traditional healing systems under climate change.</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Indigenous rights recognition comprises an essential policy foundation for effective conservation. Secure land tenure enabling indigenous peoples to maintain authority over ancestral territories provides the governance framework within which traditional resource management operates. Free prior informed consent protocols must govern any research, development, or conservation initiatives affecting indigenous territories or traditional knowledge. Indigenous participation in environmental decision-making, from local management planning to international treaty negotiations, ensures that policies reflect indigenous priorities and incorporate traditional ecological knowledge.</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Financing mechanisms must be established to support medicinal plant conservation and indigenous adaptation. Climate adaptation funds should be accessible to indigenous communities for initiatives including medicinal plant cultivation, habitat restoration, </w:t>
      </w:r>
      <w:r w:rsidRPr="00B14CCC">
        <w:rPr>
          <w:rFonts w:ascii="Times New Roman" w:eastAsia="Times New Roman" w:hAnsi="Times New Roman" w:cs="Times New Roman"/>
          <w:sz w:val="24"/>
          <w:szCs w:val="24"/>
        </w:rPr>
        <w:lastRenderedPageBreak/>
        <w:t>monitoring programs, and knowledge transmission. Payment for ecosystem services schemes may provide resources for conservation while recognizing indigenous contributions to maintaining biodiversity. However, such schemes must be carefully designed to avoid commodifying traditional knowledge or creating perverse incentives that undermine customary governance systems.</w:t>
      </w:r>
    </w:p>
    <w:p w:rsidR="0045421A" w:rsidRPr="00B14CCC" w:rsidRDefault="0045421A"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5.3 Conservation and Management Actions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Practical conservation and management actions must complement research and policy development, implementing on-the-ground interventions that protect medicinal plant populations and support traditional healing systems. Priority actions include establishing and managing climate-adapted protected areas, supporting community-based conservation initiatives, implementing habitat restoration programs, developing sustainable harvest management systems, and creating networks connecting conservation practitioners, researchers, and indigenous communities.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Protected area networks require evaluation and potential expansion to ensure adequate representation of medicinal plant diversity and climate refugia. Climate change considerations should inform protected area design, emphasizing ecological connectivity allowing species migration, topographical diversity providing microclimatic variation, and sufficient size maintaining ecosystem processes. Management of existing protected areas must adapt to climate change through monitoring programs detecting ecosystem changes, intervention strategies assisting migration of slow-dispersing species when appropriate, and invasive species control preventing spread of climate-favored non-natives.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Community-based conservation deserves increased support recognizing the effectiveness of indigenous territorial management for maintaining biodiversity while supporting livelihoods and cultural practices. Support should include recognition of indigenous land rights, provision of resources for community monitoring and management, respect for traditional governance systems, and platforms for sharing knowledge among indigenous communities adapting to similar challenges. Community conservation initiatives should be indigenous-led with external partners providing support in subordinate roles defined by community priorities.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Habitat restoration offers opportunities to increase medicinal plant populations and expand suitable habitat in landscapes degraded through deforestation, overgrazing, or other impacts. Restoration should prioritize areas providing climate connectivity between existing medicinal plant populations, regions likely to become suitable habitat as climate changes, and degraded sites within indigenous territories. Restoration planning must incorporate traditional ecological knowledge regarding species assemblages, succession processes, and management practices while employing contemporary restoration techniques. Indigenous communities should lead restoration efforts in their territories with technical and financial support from conservation organizations and government agencies.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Sustainable harvest management systems balancing medicinal plant utilization with population conservation require development and implementation across regions where </w:t>
      </w:r>
      <w:r w:rsidRPr="00B14CCC">
        <w:rPr>
          <w:rFonts w:ascii="Times New Roman" w:eastAsia="Times New Roman" w:hAnsi="Times New Roman" w:cs="Times New Roman"/>
          <w:sz w:val="24"/>
          <w:szCs w:val="24"/>
        </w:rPr>
        <w:lastRenderedPageBreak/>
        <w:t>overharvesting threatens species. Management approaches should incorporate traditional governance systems regulating resource access and harvest timing, scientific assessment of population dynamics and sustainable yield levels, monitoring of harvest impacts, and adaptive management adjusting regulations based on population responses. Community-based harvest management often proves more effective than external regulation, suggesting priority for supporting indigenous harvest governance systems.</w:t>
      </w:r>
    </w:p>
    <w:p w:rsidR="0045421A" w:rsidRPr="00B14CCC" w:rsidRDefault="0045421A" w:rsidP="00B14CCC">
      <w:pPr>
        <w:jc w:val="both"/>
        <w:outlineLvl w:val="2"/>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5.4 Supporting Traditional Knowledge Transmission</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continuation of traditional healing systems under climate change depends upon successful transmission of medicinal plant knowledge to new generations. Supporting knowledge transmission requires addressing both the proximate barriers limiting learning opportunities and the broader social, economic, and political factors affecting indigenous cultural continuity. Key support strategies include creating learning opportunities for youth, documenting traditional knowledge with appropriate protocols, supporting elder practitioners, and addressing socioeconomic factors driving youth away from traditional practices.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Formal knowledge transmission programs can create structured opportunities for youth to learn medicinal plant identification, collection, preparation, and application from experienced practitioners. Such programs might include field excursions for plant identification and harvesting, workshops on preparation techniques, apprenticeships with traditional healers, and integration of traditional knowledge into school curricula. Programs must be designed with indigenous cultural protocols, emphasizing experiential learning in appropriate settings and respecting beliefs regarding sacred or restricted knowledge. Elder practitioners should lead knowledge transmission with appropriate compensation and recognition of their expertise.</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Documentation initiatives can preserve traditional knowledge while respecting indigenous intellectual property rights and cultural protocols. Documentation may include written records, audio and video recordings, herbarium collections, and digital databases maintaining information for community use. However, documentation raises ethical complexities regarding knowledge ownership, access control, and risks of appropriation. Indigenous communities must control documentation processes, determining what knowledge will be documented, who may access documented information, and how documented knowledge may be used. Documentation should prioritize knowledge at greatest risk of loss while avoiding documentation approaches that might discourage oral transmission by creating false sense that knowledge preservation is complete.</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Supporting elder practitioners, who hold the greatest depth of medicinal plant knowledge, requires addressing healthcare, economic security, and social recognition. Many indigenous elders face poverty and lack access to healthcare despite their roles as healthcare providers for communities. Programs providing economic support through stipends or employment, ensuring healthcare access, and creating forums where elder knowledge is respected and valued can support knowledge retention and transmission. Recognition of traditional healing as legitimate medical practice requiring expertise and training comparable to biomedical </w:t>
      </w:r>
      <w:r w:rsidRPr="00B14CCC">
        <w:rPr>
          <w:rFonts w:ascii="Times New Roman" w:eastAsia="Times New Roman" w:hAnsi="Times New Roman" w:cs="Times New Roman"/>
          <w:sz w:val="24"/>
          <w:szCs w:val="24"/>
        </w:rPr>
        <w:lastRenderedPageBreak/>
        <w:t>professionals helps elevate practitioner status and encourage youth interest in traditional medicine careers.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Addressing broader socioeconomic factors driving youth away from traditional practices requires holistic approaches supporting indigenous community wellbeing and self-determination. Education systems that devalue indigenous knowledge, economic pressures forcing migration to urban areas, and social discrimination against indigenous peoples all contribute to erosion of traditional knowledge transmission. Policies supporting indigenous language retention, culturally relevant education, sustainable livelihoods in traditional territories, and indigenous self-governance create enabling conditions for cultural continuity including traditional knowledge transmission.</w:t>
      </w:r>
    </w:p>
    <w:p w:rsidR="0045421A" w:rsidRPr="00B14CCC" w:rsidRDefault="0045421A"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6. Conclusion</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This comprehensive research has examined the multifaceted threats that climate change poses to indigenous medicinal plant biodiversity and traditional healing systems across diverse geographical regions and ecosystem types. The evidence synthesized throughout this study reveals an urgent crisis unfolding at the intersection of environmental change, biodiversity loss, and cultural erosion. Rising temperatures,</w:t>
      </w:r>
      <w:r w:rsidR="00A82063">
        <w:rPr>
          <w:rFonts w:ascii="Times New Roman" w:eastAsia="Times New Roman" w:hAnsi="Times New Roman" w:cs="Times New Roman"/>
          <w:sz w:val="24"/>
          <w:szCs w:val="24"/>
        </w:rPr>
        <w:t xml:space="preserve"> altered precipitation regimes, </w:t>
      </w:r>
      <w:r w:rsidRPr="00B14CCC">
        <w:rPr>
          <w:rFonts w:ascii="Times New Roman" w:eastAsia="Times New Roman" w:hAnsi="Times New Roman" w:cs="Times New Roman"/>
          <w:sz w:val="24"/>
          <w:szCs w:val="24"/>
        </w:rPr>
        <w:t>and increasingly frequent extreme events are driving unprecedented shifts in medicinal plant distributions, phenological patterns, and phytochemical compositions that fundamentally challenge the viability of traditional healing systems developed over millennia.</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magnitude of the threat cannot be overstated. Analysis indicates that between 60% and 75% of medicinal plant species face moderate to severe climate-induced range contractions under warming scenarios that now appear increasingly likely given current emission trajectories. Montane ecosystems emerge as critical vulnerability hotspots, with high-altitude medicinal plants facing upward range shifts that inevitably terminate at mountain summits, leaving no suitable habitat for further migration. Arctic and subarctic regions experience the most rapid warming globally, driving transformative ecosystem changes that alter the limited but culturally essential medicinal plant floras utilized by circumpolar indigenous peoples. Tropical rainforests, harboring the greatest concentration of medicinal plant diversity and supporting hundreds of indigenous ethnic groups with sophisticated botanical knowledge, face compounding pressures from climate change and deforestation that threaten catastrophic biodiversity losses.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Beyond simple population declines and distribution shifts, climate change affects the fundamental medicinal properties of plants through alterations in phytochemical composition. Research demonstrates that changing temperature, water availability, and atmospheric conditions significantly influence the production of secondary metabolites that confer therapeutic efficacy. Even where medicinal plant species persist as biological entities, their value for traditional healing may be compromised through reduced concentrations of active compounds or altered phytochemical profiles that render traditional dosing and preparation protocols ineffective. This dimension of climate impact receives insufficient attention in </w:t>
      </w:r>
      <w:r w:rsidRPr="00B14CCC">
        <w:rPr>
          <w:rFonts w:ascii="Times New Roman" w:eastAsia="Times New Roman" w:hAnsi="Times New Roman" w:cs="Times New Roman"/>
          <w:sz w:val="24"/>
          <w:szCs w:val="24"/>
        </w:rPr>
        <w:lastRenderedPageBreak/>
        <w:t>conservation discourse yet carries profound implications for the millions of people depending on plant-based traditional medicine for primary healthcare.</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erosion of traditional ecological knowledge represents perhaps the most irreversible consequence of climate-induced medicinal plant losses. When the species that traditional knowledge describes disappear from ancestral territories or undergo transformations that invalidate accumulated understanding, the knowledge itself becomes obsolete. Opportunities for intergenerational knowledge transmission contract as younger generations have reduced exposure to medicinal plants and associated practices. The predictive power of traditional seasonal calendars and environmental indicators declines when climate change decouples historical relationships between cues and actual conditions. This knowledge erosion occurs precisely when indigenous expertise in observing, interpreting, and adapting to environmental change could contribute most valuably to broader societal climate adaptation efforts.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However, the narrative of indigenous vulnerability must be balanced with recognition of remarkable adaptive capacity and resilience. Indigenous communities across diverse contexts demonstrate sophisticated responses to climate change impacts, including modifications to harvesting practices, cultivation of previously wild species, species substitution strategies, community-based monitoring initiatives, and political advocacy for territorial rights essential to maintaining resource access. Traditional ecological knowledge, far from being static, represents dynamic frameworks that have accommodated environmental variability throughout their development and continue to evolve in response to unprecedented changes. Supporting indigenous adaptive capacity rather than merely documenting decline should constitute a central priority for research, policy, and conservation action.</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case for urgent action rests on multiple imperatives spanning health equity, cultural rights, biodiversity conservation, and pharmaceutical innovation. For billions of people globally, particularly in rural and economically marginalized communities, traditional medicine provides essential and often sole healthcare access. Climate-induced losses of medicinal plant resources directly threaten health security for populations already experiencing healthcare marginalization. From a cultural rights perspective, traditional healing systems constitute integral components of indigenous identity, connecting contemporary communities with ancestral knowledge and spiritual practices. The disappearance of medicinal plants therefore represents a form of cultural genocide that compounds historical patterns of indigenous oppression and dispossession.</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Biodiversity conservation arguments emphasize that medicinal plants comprise irreplaceable components of Earth's biological heritage, the products of millions of years of evolutionary innovation. </w:t>
      </w:r>
      <w:proofErr w:type="gramStart"/>
      <w:r w:rsidRPr="00B14CCC">
        <w:rPr>
          <w:rFonts w:ascii="Times New Roman" w:eastAsia="Times New Roman" w:hAnsi="Times New Roman" w:cs="Times New Roman"/>
          <w:sz w:val="24"/>
          <w:szCs w:val="24"/>
        </w:rPr>
        <w:t>Each species extinction</w:t>
      </w:r>
      <w:proofErr w:type="gramEnd"/>
      <w:r w:rsidRPr="00B14CCC">
        <w:rPr>
          <w:rFonts w:ascii="Times New Roman" w:eastAsia="Times New Roman" w:hAnsi="Times New Roman" w:cs="Times New Roman"/>
          <w:sz w:val="24"/>
          <w:szCs w:val="24"/>
        </w:rPr>
        <w:t xml:space="preserve"> represents permanent loss of unique genetic information and ecological relationships that can never be recreated. The accelerating extinction rate, driven substantially by climate change, constitutes a biodiversity crisis of geological proportions comparable to the great mass extinction events of the paleontological record. For pharmaceutical innovation, medicinal plants utilized in traditional healing systems have proven extraordinary sources of therapeutic compounds, with approximately 25% of modern drugs derived from plants originally employed in traditional medicine. The loss of medicinal </w:t>
      </w:r>
      <w:r w:rsidRPr="00B14CCC">
        <w:rPr>
          <w:rFonts w:ascii="Times New Roman" w:eastAsia="Times New Roman" w:hAnsi="Times New Roman" w:cs="Times New Roman"/>
          <w:sz w:val="24"/>
          <w:szCs w:val="24"/>
        </w:rPr>
        <w:lastRenderedPageBreak/>
        <w:t>plant biodiversity therefore reduces the chemical diversity available for future drug discovery, potentially eliminating compounds that could address currently intractable diseases.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Effective responses must integrate multiple complementary strategies operating across scales from global policy frameworks to community-level conservation initiatives. International agreements including the Convention on Biological Diversity, Nagoya Protocol, and UN Declaration on the Rights of Indigenous Peoples provide essential legal foundations, but implementation remains inconsistent and inadequate. National policies must translate international commitments into concrete protections for medicinal plant habitats and indigenous rights, with sufficient resources for enforcement. Local governance systems require recognition and support as essential conservation mechanisms that maintain both biological and cultural diversity.</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Conservation strategies should combine in-situ approaches protecting medicinal plant populations in natural habitats with ex-situ conservation through seed banks and living collections providing insurance against extinction. Protected area networks require evaluation and potential expansion to ensure adequate representation of medicinal plant diversity and climate refugia, with design emphasizing ecological connectivity allowing species migration under changing conditions. Community-based conservation deserves increased support recognizing the effectiveness of indigenous territorial management while respecting indigenous rights and governance systems. Habitat restoration offers opportunities to expand suitable habitat and increase population sizes for threatened species, with restoration efforts ideally indigenous-led and incorporating traditional ecological knowledge.</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Research priorities include comprehensive documentation of medicinal plant climate vulnerabilities across underrepresented geographical regions, detailed investigation of climate-induced phytochemical changes affecting medicinal efficacy, evaluation of adaptation strategy effectiveness, and development of predictive models enabling anticipatory conservation responses. Such research must employ collaborative approaches that respect indigenous knowledge protocols, ensure equitable benefit-sharing, and address community-identified priorities rather than serving purely academic interests. Long-term monitoring programs integrating indigenous observations with scientific measurements provide essential data for detecting climate impacts and evaluating conservation outcomes.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 xml:space="preserve">Supporting traditional knowledge transmission represents a critical priority requiring attention to both proximate barriers limiting learning opportunities and broader socioeconomic factors affecting indigenous cultural continuity. Formal knowledge transmission programs can create structured opportunities for youth to learn from elder practitioners, while documentation initiatives may preserve traditional knowledge if designed with appropriate indigenous control over information access and use. Supporting elder practitioners through economic security, healthcare access, and social recognition helps retain knowledge holders while encouraging youth interest in traditional medicine. Addressing education systems that devalue indigenous knowledge, economic pressures forcing urban </w:t>
      </w:r>
      <w:r w:rsidRPr="00B14CCC">
        <w:rPr>
          <w:rFonts w:ascii="Times New Roman" w:eastAsia="Times New Roman" w:hAnsi="Times New Roman" w:cs="Times New Roman"/>
          <w:sz w:val="24"/>
          <w:szCs w:val="24"/>
        </w:rPr>
        <w:lastRenderedPageBreak/>
        <w:t>migration, and social discrimination requires holistic approaches supporting indigenous self-determination and community wellbeing.</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integration of traditional ecological knowledge with scientific climate change research represents an emerging frontier offering substantial benefits for both indigenous adaptation and broader climate science. Indigenous observations of environmental change often provide detailed, long-term perspectives on ecological shifts that complement formal monitoring data. Collaborative research approaches that respect knowledge protocols while incorporating traditional observations into climate assessments can enhance understanding of localized impacts and identify culturally appropriate adaptation strategies. However, such collaboration must navigate complex ethical terrain, ensuring that indigenous peoples control their knowledge and receive equitable benefits from research partnerships.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Looking forward, the trajectory of medicinal plant biodiversity and traditional healing systems under climate change depends fundamentally on the emission pathway humanity pursues. Under high-emission scenarios with warming exceeding 3°C to 4°C above pre-industrial levels, the evidence suggests catastrophic losses are inevitable across many regions, with potential for wholesale ecosystem transformations eliminating entire medicinal plant floras and rendering traditional knowledge obsolete. Aggressive emission reductions limiting warming to 1.5°C to 2°C would substantially reduce but not eliminate threats, requiring sustained conservation efforts and support for indigenous adaptation. The window for effective action narrows rapidly as climate change accelerates and extinction debts accumulate.</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Beyond climate mitigation, responses must address the compounding threats that synergize with climate change to threaten medicinal plant biodiversity. Habitat loss through deforestation, agricultural expansion, and infrastructure development directly eliminates medicinal plant populations while reducing landscape connectivity essential for climate-driven species migration. Overharvesting driven by commercial demand depletes populations already stressed by climate change. Political instability, resource conflicts, and violations of indigenous rights undermine traditional governance systems essential for sustainable resource management. Comprehensive approaches addressing these multiple threats in integrated frameworks offer the greatest potential for sustaining medicinal plant biodiversity and traditional healing systems.</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The challenges documented throughout this research may appear overwhelming, yet the continued resilience of indigenous peoples and the persistence of traditional healing systems across centuries of adversity provide grounds for hope. Indigenous communities have survived colonization, cultural suppression, forced displacement, and numerous environmental challenges while maintaining their knowledge systems and cultural identities. This historical resilience, combined with growing recognition of indigenous rights and the value of traditional ecological knowledge, creates opportunities for more just and effective conservation approaches. The emerging paradigm of biocultural conservation, recognizing the inseparability of biological and cultural diversity, offers conceptual frameworks for integrated responses honoring both indigenous self-determination and biodiversity protection.</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lastRenderedPageBreak/>
        <w:t>Ultimately, protecting medicinal plant biodiversity and traditional healing systems under climate change requires fundamental shifts in societal relationships with nature and indigenous peoples. The worldview that treats nature as mere resource for exploitation and indigenous peoples as obstacles to development must give way to recognition of intrinsic value, relational responsibilities, and the wisdom embedded in traditional knowledge systems. The same extractive paradigm driving climate change through fossil fuel combustion and deforestation threatens medicinal plants and indigenous cultures. Transformation toward sustainable, equitable relationships with both ecosystems and indigenous peoples represents the deeper challenge underlying the specific conservation interventions this research has identified.</w:t>
      </w:r>
    </w:p>
    <w:p w:rsidR="0045421A" w:rsidRPr="00B14CCC" w:rsidRDefault="0045421A" w:rsidP="00B14CCC">
      <w:pPr>
        <w:jc w:val="both"/>
        <w:rPr>
          <w:rFonts w:ascii="Times New Roman" w:eastAsia="Times New Roman" w:hAnsi="Times New Roman" w:cs="Times New Roman"/>
          <w:sz w:val="24"/>
          <w:szCs w:val="24"/>
        </w:rPr>
      </w:pPr>
      <w:r w:rsidRPr="00B14CCC">
        <w:rPr>
          <w:rFonts w:ascii="Times New Roman" w:eastAsia="Times New Roman" w:hAnsi="Times New Roman" w:cs="Times New Roman"/>
          <w:sz w:val="24"/>
          <w:szCs w:val="24"/>
        </w:rPr>
        <w:t>This study contributes to the growing body of evidence regarding climate change threats to biocultural diversity while highlighting the urgent need for action. The loss of medicinal plant biodiversity and erosion of traditional healing systems constitute injustices affecting indigenous peoples who have contributed least to climate change yet suffer disproportionate impacts. These losses also represent collective tragedies diminishing the biological and cultural heritage of all humanity. The imperative for urgent, comprehensive action derives from multiple ethical foundations spanning human rights, intergenerational justice, biodiversity conservation, and recognition that the health of human societies remains fundamentally dependent on the health of ecosystems. The continuation of traditional healing systems, which have served humanity since the dawn of our species, should not become a casualty of the Anthropocene.</w:t>
      </w:r>
    </w:p>
    <w:p w:rsidR="0045421A" w:rsidRPr="00B14CCC" w:rsidRDefault="0045421A" w:rsidP="00B14CCC">
      <w:pPr>
        <w:jc w:val="both"/>
        <w:outlineLvl w:val="1"/>
        <w:rPr>
          <w:rFonts w:ascii="Times New Roman" w:eastAsia="Times New Roman" w:hAnsi="Times New Roman" w:cs="Times New Roman"/>
          <w:b/>
          <w:bCs/>
          <w:sz w:val="24"/>
          <w:szCs w:val="24"/>
        </w:rPr>
      </w:pPr>
      <w:r w:rsidRPr="00B14CCC">
        <w:rPr>
          <w:rFonts w:ascii="Times New Roman" w:eastAsia="Times New Roman" w:hAnsi="Times New Roman" w:cs="Times New Roman"/>
          <w:b/>
          <w:bCs/>
          <w:sz w:val="24"/>
          <w:szCs w:val="24"/>
        </w:rPr>
        <w:t>References</w:t>
      </w:r>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Albrecht, G., Sartore, G. M., Connor, L., Higginbotham, N., Freeman, S., Kelly, B</w:t>
      </w:r>
      <w:proofErr w:type="gramStart"/>
      <w:r w:rsidRPr="00A82063">
        <w:rPr>
          <w:rFonts w:ascii="Times New Roman" w:eastAsia="Times New Roman" w:hAnsi="Times New Roman" w:cs="Times New Roman"/>
          <w:sz w:val="24"/>
          <w:szCs w:val="24"/>
        </w:rPr>
        <w:t>., ...</w:t>
      </w:r>
      <w:proofErr w:type="gramEnd"/>
      <w:r w:rsidRPr="00A82063">
        <w:rPr>
          <w:rFonts w:ascii="Times New Roman" w:eastAsia="Times New Roman" w:hAnsi="Times New Roman" w:cs="Times New Roman"/>
          <w:sz w:val="24"/>
          <w:szCs w:val="24"/>
        </w:rPr>
        <w:t xml:space="preserve"> &amp; Pollard, G. (2007). Solastalgia: The distress caused by environmental change. </w:t>
      </w:r>
      <w:r w:rsidRPr="00A82063">
        <w:rPr>
          <w:rFonts w:ascii="Times New Roman" w:eastAsia="Times New Roman" w:hAnsi="Times New Roman" w:cs="Times New Roman"/>
          <w:i/>
          <w:iCs/>
          <w:sz w:val="24"/>
          <w:szCs w:val="24"/>
        </w:rPr>
        <w:t>Australasian Psychiatry</w:t>
      </w:r>
      <w:r w:rsidRPr="00A82063">
        <w:rPr>
          <w:rFonts w:ascii="Times New Roman" w:eastAsia="Times New Roman" w:hAnsi="Times New Roman" w:cs="Times New Roman"/>
          <w:sz w:val="24"/>
          <w:szCs w:val="24"/>
        </w:rPr>
        <w:t xml:space="preserve">, 15(sup1), S95-S98. </w:t>
      </w:r>
      <w:hyperlink r:id="rId171" w:history="1">
        <w:r w:rsidRPr="00A82063">
          <w:rPr>
            <w:rFonts w:ascii="Times New Roman" w:eastAsia="Times New Roman" w:hAnsi="Times New Roman" w:cs="Times New Roman"/>
            <w:color w:val="0000FF"/>
            <w:sz w:val="24"/>
            <w:szCs w:val="24"/>
            <w:u w:val="single"/>
          </w:rPr>
          <w:t>https://doi.org/10.1080/10398560701701288</w:t>
        </w:r>
      </w:hyperlink>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Berkes, F. (2018). </w:t>
      </w:r>
      <w:r w:rsidRPr="00A82063">
        <w:rPr>
          <w:rFonts w:ascii="Times New Roman" w:eastAsia="Times New Roman" w:hAnsi="Times New Roman" w:cs="Times New Roman"/>
          <w:i/>
          <w:iCs/>
          <w:sz w:val="24"/>
          <w:szCs w:val="24"/>
        </w:rPr>
        <w:t>Sacred ecology</w:t>
      </w:r>
      <w:r w:rsidRPr="00A82063">
        <w:rPr>
          <w:rFonts w:ascii="Times New Roman" w:eastAsia="Times New Roman" w:hAnsi="Times New Roman" w:cs="Times New Roman"/>
          <w:sz w:val="24"/>
          <w:szCs w:val="24"/>
        </w:rPr>
        <w:t xml:space="preserve"> (4th </w:t>
      </w:r>
      <w:proofErr w:type="gramStart"/>
      <w:r w:rsidRPr="00A82063">
        <w:rPr>
          <w:rFonts w:ascii="Times New Roman" w:eastAsia="Times New Roman" w:hAnsi="Times New Roman" w:cs="Times New Roman"/>
          <w:sz w:val="24"/>
          <w:szCs w:val="24"/>
        </w:rPr>
        <w:t>ed</w:t>
      </w:r>
      <w:proofErr w:type="gramEnd"/>
      <w:r w:rsidRPr="00A82063">
        <w:rPr>
          <w:rFonts w:ascii="Times New Roman" w:eastAsia="Times New Roman" w:hAnsi="Times New Roman" w:cs="Times New Roman"/>
          <w:sz w:val="24"/>
          <w:szCs w:val="24"/>
        </w:rPr>
        <w:t>.). Routledge.</w:t>
      </w:r>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Berkes, F., &amp; Berkes, M. K. (2009). Ecological complexity, fuzzy logic, and holism in indigenous knowledge. </w:t>
      </w:r>
      <w:r w:rsidRPr="00A82063">
        <w:rPr>
          <w:rFonts w:ascii="Times New Roman" w:eastAsia="Times New Roman" w:hAnsi="Times New Roman" w:cs="Times New Roman"/>
          <w:i/>
          <w:iCs/>
          <w:sz w:val="24"/>
          <w:szCs w:val="24"/>
        </w:rPr>
        <w:t>Futures</w:t>
      </w:r>
      <w:r w:rsidRPr="00A82063">
        <w:rPr>
          <w:rFonts w:ascii="Times New Roman" w:eastAsia="Times New Roman" w:hAnsi="Times New Roman" w:cs="Times New Roman"/>
          <w:sz w:val="24"/>
          <w:szCs w:val="24"/>
        </w:rPr>
        <w:t xml:space="preserve">, 41(1), 6-12. </w:t>
      </w:r>
      <w:hyperlink r:id="rId172" w:history="1">
        <w:r w:rsidRPr="00A82063">
          <w:rPr>
            <w:rFonts w:ascii="Times New Roman" w:eastAsia="Times New Roman" w:hAnsi="Times New Roman" w:cs="Times New Roman"/>
            <w:color w:val="0000FF"/>
            <w:sz w:val="24"/>
            <w:szCs w:val="24"/>
            <w:u w:val="single"/>
          </w:rPr>
          <w:t>https://doi.org/10.1016/j.futures.2008.07.003</w:t>
        </w:r>
      </w:hyperlink>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Chen, I. C., Hill, J. K., Ohlemüller, R., Roy, D. B., &amp; Thomas, C. D. (2011). Rapid range shifts of species associated with high levels of climate warming. </w:t>
      </w:r>
      <w:r w:rsidRPr="00A82063">
        <w:rPr>
          <w:rFonts w:ascii="Times New Roman" w:eastAsia="Times New Roman" w:hAnsi="Times New Roman" w:cs="Times New Roman"/>
          <w:i/>
          <w:iCs/>
          <w:sz w:val="24"/>
          <w:szCs w:val="24"/>
        </w:rPr>
        <w:t>Science</w:t>
      </w:r>
      <w:r w:rsidRPr="00A82063">
        <w:rPr>
          <w:rFonts w:ascii="Times New Roman" w:eastAsia="Times New Roman" w:hAnsi="Times New Roman" w:cs="Times New Roman"/>
          <w:sz w:val="24"/>
          <w:szCs w:val="24"/>
        </w:rPr>
        <w:t xml:space="preserve">, 333(6045), 1024-1026. </w:t>
      </w:r>
      <w:hyperlink r:id="rId173" w:history="1">
        <w:r w:rsidRPr="00A82063">
          <w:rPr>
            <w:rFonts w:ascii="Times New Roman" w:eastAsia="Times New Roman" w:hAnsi="Times New Roman" w:cs="Times New Roman"/>
            <w:color w:val="0000FF"/>
            <w:sz w:val="24"/>
            <w:szCs w:val="24"/>
            <w:u w:val="single"/>
          </w:rPr>
          <w:t>https://doi.org/10.1126/science.1206432</w:t>
        </w:r>
      </w:hyperlink>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Colwell, R. K., Brehm, G., Cardelús, C. L., Gilman, A. C., &amp; Longino, J. T. (2008). Global warming, elevational range shifts, and lowland biotic attrition in the wet tropics. </w:t>
      </w:r>
      <w:r w:rsidRPr="00A82063">
        <w:rPr>
          <w:rFonts w:ascii="Times New Roman" w:eastAsia="Times New Roman" w:hAnsi="Times New Roman" w:cs="Times New Roman"/>
          <w:i/>
          <w:iCs/>
          <w:sz w:val="24"/>
          <w:szCs w:val="24"/>
        </w:rPr>
        <w:t>Science</w:t>
      </w:r>
      <w:r w:rsidRPr="00A82063">
        <w:rPr>
          <w:rFonts w:ascii="Times New Roman" w:eastAsia="Times New Roman" w:hAnsi="Times New Roman" w:cs="Times New Roman"/>
          <w:sz w:val="24"/>
          <w:szCs w:val="24"/>
        </w:rPr>
        <w:t xml:space="preserve">, 322(5899), 258-261. </w:t>
      </w:r>
      <w:hyperlink r:id="rId174" w:history="1">
        <w:r w:rsidRPr="00A82063">
          <w:rPr>
            <w:rFonts w:ascii="Times New Roman" w:eastAsia="Times New Roman" w:hAnsi="Times New Roman" w:cs="Times New Roman"/>
            <w:color w:val="0000FF"/>
            <w:sz w:val="24"/>
            <w:szCs w:val="24"/>
            <w:u w:val="single"/>
          </w:rPr>
          <w:t>https://doi.org/10.1126/science.1162547</w:t>
        </w:r>
      </w:hyperlink>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Dayrat, B., Schilthuizen, M., Sessegolo, G., &amp; Wilms, T. (2017). Climate change impacts on Himalayan medicinal plants: A spatial modeling approach. </w:t>
      </w:r>
      <w:r w:rsidRPr="00A82063">
        <w:rPr>
          <w:rFonts w:ascii="Times New Roman" w:eastAsia="Times New Roman" w:hAnsi="Times New Roman" w:cs="Times New Roman"/>
          <w:i/>
          <w:iCs/>
          <w:sz w:val="24"/>
          <w:szCs w:val="24"/>
        </w:rPr>
        <w:t>Journal of Mountain Science</w:t>
      </w:r>
      <w:r w:rsidRPr="00A82063">
        <w:rPr>
          <w:rFonts w:ascii="Times New Roman" w:eastAsia="Times New Roman" w:hAnsi="Times New Roman" w:cs="Times New Roman"/>
          <w:sz w:val="24"/>
          <w:szCs w:val="24"/>
        </w:rPr>
        <w:t>, 14(8), 1526-1538.</w:t>
      </w:r>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Foden, W., Midgley, G. F., Hughes, G., Bond, W. J., Thuiller, W., Hoffman, M. T</w:t>
      </w:r>
      <w:proofErr w:type="gramStart"/>
      <w:r w:rsidRPr="00A82063">
        <w:rPr>
          <w:rFonts w:ascii="Times New Roman" w:eastAsia="Times New Roman" w:hAnsi="Times New Roman" w:cs="Times New Roman"/>
          <w:sz w:val="24"/>
          <w:szCs w:val="24"/>
        </w:rPr>
        <w:t>., ...</w:t>
      </w:r>
      <w:proofErr w:type="gramEnd"/>
      <w:r w:rsidRPr="00A82063">
        <w:rPr>
          <w:rFonts w:ascii="Times New Roman" w:eastAsia="Times New Roman" w:hAnsi="Times New Roman" w:cs="Times New Roman"/>
          <w:sz w:val="24"/>
          <w:szCs w:val="24"/>
        </w:rPr>
        <w:t xml:space="preserve"> &amp; Williams, P. (2007). A changing climate is eroding the geographical range of the Namib Desert tree Aloe through population declines and dispersal lags. </w:t>
      </w:r>
      <w:r w:rsidRPr="00A82063">
        <w:rPr>
          <w:rFonts w:ascii="Times New Roman" w:eastAsia="Times New Roman" w:hAnsi="Times New Roman" w:cs="Times New Roman"/>
          <w:i/>
          <w:iCs/>
          <w:sz w:val="24"/>
          <w:szCs w:val="24"/>
        </w:rPr>
        <w:t>Diversity and Distributions</w:t>
      </w:r>
      <w:r w:rsidRPr="00A82063">
        <w:rPr>
          <w:rFonts w:ascii="Times New Roman" w:eastAsia="Times New Roman" w:hAnsi="Times New Roman" w:cs="Times New Roman"/>
          <w:sz w:val="24"/>
          <w:szCs w:val="24"/>
        </w:rPr>
        <w:t xml:space="preserve">, 13(5), 645-653. </w:t>
      </w:r>
      <w:hyperlink r:id="rId175" w:history="1">
        <w:r w:rsidRPr="00A82063">
          <w:rPr>
            <w:rFonts w:ascii="Times New Roman" w:eastAsia="Times New Roman" w:hAnsi="Times New Roman" w:cs="Times New Roman"/>
            <w:color w:val="0000FF"/>
            <w:sz w:val="24"/>
            <w:szCs w:val="24"/>
            <w:u w:val="single"/>
          </w:rPr>
          <w:t>https://doi.org/10.1111/j.1472-4642.2007.00391.x</w:t>
        </w:r>
      </w:hyperlink>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lastRenderedPageBreak/>
        <w:t xml:space="preserve">Garnett, S. T., Burgess, N. D., Fa, J. E., Fernández-Llamazares, Á., Molnár, Z., Robinson, C. J., ... &amp; Leiper, I. (2018). A spatial overview of the global importance of Indigenous lands for conservation. </w:t>
      </w:r>
      <w:r w:rsidRPr="00A82063">
        <w:rPr>
          <w:rFonts w:ascii="Times New Roman" w:eastAsia="Times New Roman" w:hAnsi="Times New Roman" w:cs="Times New Roman"/>
          <w:i/>
          <w:iCs/>
          <w:sz w:val="24"/>
          <w:szCs w:val="24"/>
        </w:rPr>
        <w:t>Nature Sustainability</w:t>
      </w:r>
      <w:r w:rsidRPr="00A82063">
        <w:rPr>
          <w:rFonts w:ascii="Times New Roman" w:eastAsia="Times New Roman" w:hAnsi="Times New Roman" w:cs="Times New Roman"/>
          <w:sz w:val="24"/>
          <w:szCs w:val="24"/>
        </w:rPr>
        <w:t xml:space="preserve">, 1(7), 369-374. </w:t>
      </w:r>
      <w:hyperlink r:id="rId176" w:history="1">
        <w:r w:rsidRPr="00A82063">
          <w:rPr>
            <w:rFonts w:ascii="Times New Roman" w:eastAsia="Times New Roman" w:hAnsi="Times New Roman" w:cs="Times New Roman"/>
            <w:color w:val="0000FF"/>
            <w:sz w:val="24"/>
            <w:szCs w:val="24"/>
            <w:u w:val="single"/>
          </w:rPr>
          <w:t>https://doi.org/10.1038/s41893-018-0100-6</w:t>
        </w:r>
      </w:hyperlink>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Gavin, M. C., McCarter, J., Mead, A., Berkes, F., Stepp, J. R., Peterson, D., &amp; Tang, R. (2015). Defining biocultural approaches to conservation. </w:t>
      </w:r>
      <w:r w:rsidRPr="00A82063">
        <w:rPr>
          <w:rFonts w:ascii="Times New Roman" w:eastAsia="Times New Roman" w:hAnsi="Times New Roman" w:cs="Times New Roman"/>
          <w:i/>
          <w:iCs/>
          <w:sz w:val="24"/>
          <w:szCs w:val="24"/>
        </w:rPr>
        <w:t>Trends in Ecology &amp; Evolution</w:t>
      </w:r>
      <w:r w:rsidRPr="00A82063">
        <w:rPr>
          <w:rFonts w:ascii="Times New Roman" w:eastAsia="Times New Roman" w:hAnsi="Times New Roman" w:cs="Times New Roman"/>
          <w:sz w:val="24"/>
          <w:szCs w:val="24"/>
        </w:rPr>
        <w:t xml:space="preserve">, 30(3), 140-145. </w:t>
      </w:r>
      <w:hyperlink r:id="rId177" w:history="1">
        <w:r w:rsidRPr="00A82063">
          <w:rPr>
            <w:rFonts w:ascii="Times New Roman" w:eastAsia="Times New Roman" w:hAnsi="Times New Roman" w:cs="Times New Roman"/>
            <w:color w:val="0000FF"/>
            <w:sz w:val="24"/>
            <w:szCs w:val="24"/>
            <w:u w:val="single"/>
          </w:rPr>
          <w:t>https://doi.org/10.1016/j.tree.2014.12.005</w:t>
        </w:r>
      </w:hyperlink>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Hannah, L., Roehrdanz, P. R., Krishna Bahadur, K. C., Fraser, E. D., Donatti, C. I., Saenz, L., ... &amp; Andelman, S. J. (2020). The environmental consequences of climate-driven agricultural frontiers. </w:t>
      </w:r>
      <w:r w:rsidRPr="00A82063">
        <w:rPr>
          <w:rFonts w:ascii="Times New Roman" w:eastAsia="Times New Roman" w:hAnsi="Times New Roman" w:cs="Times New Roman"/>
          <w:i/>
          <w:iCs/>
          <w:sz w:val="24"/>
          <w:szCs w:val="24"/>
        </w:rPr>
        <w:t>PLOS ONE</w:t>
      </w:r>
      <w:r w:rsidRPr="00A82063">
        <w:rPr>
          <w:rFonts w:ascii="Times New Roman" w:eastAsia="Times New Roman" w:hAnsi="Times New Roman" w:cs="Times New Roman"/>
          <w:sz w:val="24"/>
          <w:szCs w:val="24"/>
        </w:rPr>
        <w:t xml:space="preserve">, 15(2), e0228305. </w:t>
      </w:r>
      <w:hyperlink r:id="rId178" w:history="1">
        <w:r w:rsidRPr="00A82063">
          <w:rPr>
            <w:rFonts w:ascii="Times New Roman" w:eastAsia="Times New Roman" w:hAnsi="Times New Roman" w:cs="Times New Roman"/>
            <w:color w:val="0000FF"/>
            <w:sz w:val="24"/>
            <w:szCs w:val="24"/>
            <w:u w:val="single"/>
          </w:rPr>
          <w:t>https://doi.org/10.1371/journal.pone.0228305</w:t>
        </w:r>
      </w:hyperlink>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Herms, D. A., &amp; Mattson, W. J. (1992). The dilemma of plants: To grow or defend. </w:t>
      </w:r>
      <w:r w:rsidRPr="00A82063">
        <w:rPr>
          <w:rFonts w:ascii="Times New Roman" w:eastAsia="Times New Roman" w:hAnsi="Times New Roman" w:cs="Times New Roman"/>
          <w:i/>
          <w:iCs/>
          <w:sz w:val="24"/>
          <w:szCs w:val="24"/>
        </w:rPr>
        <w:t>The Quarterly Review of Biology</w:t>
      </w:r>
      <w:r w:rsidRPr="00A82063">
        <w:rPr>
          <w:rFonts w:ascii="Times New Roman" w:eastAsia="Times New Roman" w:hAnsi="Times New Roman" w:cs="Times New Roman"/>
          <w:sz w:val="24"/>
          <w:szCs w:val="24"/>
        </w:rPr>
        <w:t xml:space="preserve">, 67(3), 283-335. </w:t>
      </w:r>
      <w:hyperlink r:id="rId179" w:history="1">
        <w:r w:rsidRPr="00A82063">
          <w:rPr>
            <w:rFonts w:ascii="Times New Roman" w:eastAsia="Times New Roman" w:hAnsi="Times New Roman" w:cs="Times New Roman"/>
            <w:color w:val="0000FF"/>
            <w:sz w:val="24"/>
            <w:szCs w:val="24"/>
            <w:u w:val="single"/>
          </w:rPr>
          <w:t>https://doi.org/10.1086/417659</w:t>
        </w:r>
      </w:hyperlink>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Howard, P. L. (2003). Women and the plant world: An exploration. In P. L. Howard (Ed.), </w:t>
      </w:r>
      <w:r w:rsidRPr="00A82063">
        <w:rPr>
          <w:rFonts w:ascii="Times New Roman" w:eastAsia="Times New Roman" w:hAnsi="Times New Roman" w:cs="Times New Roman"/>
          <w:i/>
          <w:iCs/>
          <w:sz w:val="24"/>
          <w:szCs w:val="24"/>
        </w:rPr>
        <w:t>Women and plants: Gender relations in biodiversity management and conservation</w:t>
      </w:r>
      <w:r w:rsidRPr="00A82063">
        <w:rPr>
          <w:rFonts w:ascii="Times New Roman" w:eastAsia="Times New Roman" w:hAnsi="Times New Roman" w:cs="Times New Roman"/>
          <w:sz w:val="24"/>
          <w:szCs w:val="24"/>
        </w:rPr>
        <w:t xml:space="preserve"> (pp. 1-48). Zed Books.</w:t>
      </w:r>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Intergovernmental Panel on Climate Change (IPCC). (2021). </w:t>
      </w:r>
      <w:r w:rsidRPr="00A82063">
        <w:rPr>
          <w:rFonts w:ascii="Times New Roman" w:eastAsia="Times New Roman" w:hAnsi="Times New Roman" w:cs="Times New Roman"/>
          <w:i/>
          <w:iCs/>
          <w:sz w:val="24"/>
          <w:szCs w:val="24"/>
        </w:rPr>
        <w:t>Climate Change 2021: The Physical Science Basis. Contribution of Working Group I to the Sixth Assessment Report of the Intergovernmental Panel on Climate Change</w:t>
      </w:r>
      <w:r w:rsidRPr="00A82063">
        <w:rPr>
          <w:rFonts w:ascii="Times New Roman" w:eastAsia="Times New Roman" w:hAnsi="Times New Roman" w:cs="Times New Roman"/>
          <w:sz w:val="24"/>
          <w:szCs w:val="24"/>
        </w:rPr>
        <w:t xml:space="preserve">. Cambridge University Press. </w:t>
      </w:r>
      <w:hyperlink r:id="rId180" w:history="1">
        <w:r w:rsidRPr="00A82063">
          <w:rPr>
            <w:rFonts w:ascii="Times New Roman" w:eastAsia="Times New Roman" w:hAnsi="Times New Roman" w:cs="Times New Roman"/>
            <w:color w:val="0000FF"/>
            <w:sz w:val="24"/>
            <w:szCs w:val="24"/>
            <w:u w:val="single"/>
          </w:rPr>
          <w:t>https://doi.org/10.1017/9781009157896</w:t>
        </w:r>
      </w:hyperlink>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Jaleel, C. A., Manivannan, P., Wahid, A., Farooq, M., Somasundaram, R., &amp; Panneerselvam, R. (2008). Drought stress in plants: A review on morphological characteristics and pigments composition. </w:t>
      </w:r>
      <w:r w:rsidRPr="00A82063">
        <w:rPr>
          <w:rFonts w:ascii="Times New Roman" w:eastAsia="Times New Roman" w:hAnsi="Times New Roman" w:cs="Times New Roman"/>
          <w:i/>
          <w:iCs/>
          <w:sz w:val="24"/>
          <w:szCs w:val="24"/>
        </w:rPr>
        <w:t>International Journal of Agriculture and Biology</w:t>
      </w:r>
      <w:r w:rsidRPr="00A82063">
        <w:rPr>
          <w:rFonts w:ascii="Times New Roman" w:eastAsia="Times New Roman" w:hAnsi="Times New Roman" w:cs="Times New Roman"/>
          <w:sz w:val="24"/>
          <w:szCs w:val="24"/>
        </w:rPr>
        <w:t>, 11(1), 100-105.</w:t>
      </w:r>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Kala, C. P. (2006). Medicinal plants conservation and enterprise development. </w:t>
      </w:r>
      <w:r w:rsidRPr="00A82063">
        <w:rPr>
          <w:rFonts w:ascii="Times New Roman" w:eastAsia="Times New Roman" w:hAnsi="Times New Roman" w:cs="Times New Roman"/>
          <w:i/>
          <w:iCs/>
          <w:sz w:val="24"/>
          <w:szCs w:val="24"/>
        </w:rPr>
        <w:t>Naga</w:t>
      </w:r>
      <w:r w:rsidRPr="00A82063">
        <w:rPr>
          <w:rFonts w:ascii="Times New Roman" w:eastAsia="Times New Roman" w:hAnsi="Times New Roman" w:cs="Times New Roman"/>
          <w:sz w:val="24"/>
          <w:szCs w:val="24"/>
        </w:rPr>
        <w:t>, 29, 79-89.</w:t>
      </w:r>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Lovejoy, T. E., &amp; Nobre, C. (2018). Amazon tipping point. </w:t>
      </w:r>
      <w:r w:rsidRPr="00A82063">
        <w:rPr>
          <w:rFonts w:ascii="Times New Roman" w:eastAsia="Times New Roman" w:hAnsi="Times New Roman" w:cs="Times New Roman"/>
          <w:i/>
          <w:iCs/>
          <w:sz w:val="24"/>
          <w:szCs w:val="24"/>
        </w:rPr>
        <w:t>Science Advances</w:t>
      </w:r>
      <w:r w:rsidRPr="00A82063">
        <w:rPr>
          <w:rFonts w:ascii="Times New Roman" w:eastAsia="Times New Roman" w:hAnsi="Times New Roman" w:cs="Times New Roman"/>
          <w:sz w:val="24"/>
          <w:szCs w:val="24"/>
        </w:rPr>
        <w:t xml:space="preserve">, 4(2), eaat2340. </w:t>
      </w:r>
      <w:hyperlink r:id="rId181" w:history="1">
        <w:r w:rsidRPr="00A82063">
          <w:rPr>
            <w:rFonts w:ascii="Times New Roman" w:eastAsia="Times New Roman" w:hAnsi="Times New Roman" w:cs="Times New Roman"/>
            <w:color w:val="0000FF"/>
            <w:sz w:val="24"/>
            <w:szCs w:val="24"/>
            <w:u w:val="single"/>
          </w:rPr>
          <w:t>https://doi.org/10.1126/sciadv.aat2340</w:t>
        </w:r>
      </w:hyperlink>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Newman, D. J., &amp; Cragg, G. M. (2020). Natural products as sources of new drugs over the nearly four decades from 01/1981 to 09/2019. </w:t>
      </w:r>
      <w:r w:rsidRPr="00A82063">
        <w:rPr>
          <w:rFonts w:ascii="Times New Roman" w:eastAsia="Times New Roman" w:hAnsi="Times New Roman" w:cs="Times New Roman"/>
          <w:i/>
          <w:iCs/>
          <w:sz w:val="24"/>
          <w:szCs w:val="24"/>
        </w:rPr>
        <w:t>Journal of Natural Products</w:t>
      </w:r>
      <w:r w:rsidRPr="00A82063">
        <w:rPr>
          <w:rFonts w:ascii="Times New Roman" w:eastAsia="Times New Roman" w:hAnsi="Times New Roman" w:cs="Times New Roman"/>
          <w:sz w:val="24"/>
          <w:szCs w:val="24"/>
        </w:rPr>
        <w:t xml:space="preserve">, 83(3), 770-803. </w:t>
      </w:r>
      <w:hyperlink r:id="rId182" w:history="1">
        <w:r w:rsidRPr="00A82063">
          <w:rPr>
            <w:rFonts w:ascii="Times New Roman" w:eastAsia="Times New Roman" w:hAnsi="Times New Roman" w:cs="Times New Roman"/>
            <w:color w:val="0000FF"/>
            <w:sz w:val="24"/>
            <w:szCs w:val="24"/>
            <w:u w:val="single"/>
          </w:rPr>
          <w:t>https://doi.org/10.1021/acs.jnatprod.9b01285</w:t>
        </w:r>
      </w:hyperlink>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Parmesan, C. (2007). Influences of species, latitudes and methodologies on estimates of phenological response to global warming. </w:t>
      </w:r>
      <w:r w:rsidRPr="00A82063">
        <w:rPr>
          <w:rFonts w:ascii="Times New Roman" w:eastAsia="Times New Roman" w:hAnsi="Times New Roman" w:cs="Times New Roman"/>
          <w:i/>
          <w:iCs/>
          <w:sz w:val="24"/>
          <w:szCs w:val="24"/>
        </w:rPr>
        <w:t>Global Change Biology</w:t>
      </w:r>
      <w:r w:rsidRPr="00A82063">
        <w:rPr>
          <w:rFonts w:ascii="Times New Roman" w:eastAsia="Times New Roman" w:hAnsi="Times New Roman" w:cs="Times New Roman"/>
          <w:sz w:val="24"/>
          <w:szCs w:val="24"/>
        </w:rPr>
        <w:t xml:space="preserve">, 13(9), 1860-1872. </w:t>
      </w:r>
      <w:hyperlink r:id="rId183" w:history="1">
        <w:r w:rsidRPr="00A82063">
          <w:rPr>
            <w:rFonts w:ascii="Times New Roman" w:eastAsia="Times New Roman" w:hAnsi="Times New Roman" w:cs="Times New Roman"/>
            <w:color w:val="0000FF"/>
            <w:sz w:val="24"/>
            <w:szCs w:val="24"/>
            <w:u w:val="single"/>
          </w:rPr>
          <w:t>https://doi.org/10.1111/j.1365-2486.2007.01404.x</w:t>
        </w:r>
      </w:hyperlink>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Parmesan, C., &amp; Hanley, M. E. (2015). Plants and climate change: Complexities and surprises. </w:t>
      </w:r>
      <w:r w:rsidRPr="00A82063">
        <w:rPr>
          <w:rFonts w:ascii="Times New Roman" w:eastAsia="Times New Roman" w:hAnsi="Times New Roman" w:cs="Times New Roman"/>
          <w:i/>
          <w:iCs/>
          <w:sz w:val="24"/>
          <w:szCs w:val="24"/>
        </w:rPr>
        <w:t>Annals of Botany</w:t>
      </w:r>
      <w:r w:rsidRPr="00A82063">
        <w:rPr>
          <w:rFonts w:ascii="Times New Roman" w:eastAsia="Times New Roman" w:hAnsi="Times New Roman" w:cs="Times New Roman"/>
          <w:sz w:val="24"/>
          <w:szCs w:val="24"/>
        </w:rPr>
        <w:t xml:space="preserve">, 116(6), 849-864. </w:t>
      </w:r>
      <w:hyperlink r:id="rId184" w:history="1">
        <w:r w:rsidRPr="00A82063">
          <w:rPr>
            <w:rFonts w:ascii="Times New Roman" w:eastAsia="Times New Roman" w:hAnsi="Times New Roman" w:cs="Times New Roman"/>
            <w:color w:val="0000FF"/>
            <w:sz w:val="24"/>
            <w:szCs w:val="24"/>
            <w:u w:val="single"/>
          </w:rPr>
          <w:t>https://doi.org/10.1093/aob/mcv169</w:t>
        </w:r>
      </w:hyperlink>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Pearce, T., Ford, J., Willox, A. C., &amp; Smit, B. (2015). Inuit traditional ecological knowledge (TEK), subsistence hunting and adaptation to climate change in the Canadian Arctic. </w:t>
      </w:r>
      <w:r w:rsidRPr="00A82063">
        <w:rPr>
          <w:rFonts w:ascii="Times New Roman" w:eastAsia="Times New Roman" w:hAnsi="Times New Roman" w:cs="Times New Roman"/>
          <w:i/>
          <w:iCs/>
          <w:sz w:val="24"/>
          <w:szCs w:val="24"/>
        </w:rPr>
        <w:t>Arctic</w:t>
      </w:r>
      <w:r w:rsidRPr="00A82063">
        <w:rPr>
          <w:rFonts w:ascii="Times New Roman" w:eastAsia="Times New Roman" w:hAnsi="Times New Roman" w:cs="Times New Roman"/>
          <w:sz w:val="24"/>
          <w:szCs w:val="24"/>
        </w:rPr>
        <w:t xml:space="preserve">, 68(2), 233-245. </w:t>
      </w:r>
      <w:hyperlink r:id="rId185" w:history="1">
        <w:r w:rsidRPr="00A82063">
          <w:rPr>
            <w:rFonts w:ascii="Times New Roman" w:eastAsia="Times New Roman" w:hAnsi="Times New Roman" w:cs="Times New Roman"/>
            <w:color w:val="0000FF"/>
            <w:sz w:val="24"/>
            <w:szCs w:val="24"/>
            <w:u w:val="single"/>
          </w:rPr>
          <w:t>https://doi.org/10.14430/arctic4475</w:t>
        </w:r>
      </w:hyperlink>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Pimm, S. L., Jenkins, C. N., Abell, R., Brooks, T. M., Gittleman, J. L., Joppa, L. N., ... &amp; Sexton, J. O. (2014). The biodiversity of species and their rates of extinction, distribution, and protection. </w:t>
      </w:r>
      <w:r w:rsidRPr="00A82063">
        <w:rPr>
          <w:rFonts w:ascii="Times New Roman" w:eastAsia="Times New Roman" w:hAnsi="Times New Roman" w:cs="Times New Roman"/>
          <w:i/>
          <w:iCs/>
          <w:sz w:val="24"/>
          <w:szCs w:val="24"/>
        </w:rPr>
        <w:t>Science</w:t>
      </w:r>
      <w:r w:rsidRPr="00A82063">
        <w:rPr>
          <w:rFonts w:ascii="Times New Roman" w:eastAsia="Times New Roman" w:hAnsi="Times New Roman" w:cs="Times New Roman"/>
          <w:sz w:val="24"/>
          <w:szCs w:val="24"/>
        </w:rPr>
        <w:t xml:space="preserve">, 344(6187), 1246752. </w:t>
      </w:r>
      <w:hyperlink r:id="rId186" w:history="1">
        <w:r w:rsidRPr="00A82063">
          <w:rPr>
            <w:rFonts w:ascii="Times New Roman" w:eastAsia="Times New Roman" w:hAnsi="Times New Roman" w:cs="Times New Roman"/>
            <w:color w:val="0000FF"/>
            <w:sz w:val="24"/>
            <w:szCs w:val="24"/>
            <w:u w:val="single"/>
          </w:rPr>
          <w:t>https://doi.org/10.1126/science.1246752</w:t>
        </w:r>
      </w:hyperlink>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lastRenderedPageBreak/>
        <w:t xml:space="preserve">Ramakrishna, A., &amp; Ravishankar, G. A. (2011). Influence of abiotic stress signals on secondary metabolites in plants. </w:t>
      </w:r>
      <w:r w:rsidRPr="00A82063">
        <w:rPr>
          <w:rFonts w:ascii="Times New Roman" w:eastAsia="Times New Roman" w:hAnsi="Times New Roman" w:cs="Times New Roman"/>
          <w:i/>
          <w:iCs/>
          <w:sz w:val="24"/>
          <w:szCs w:val="24"/>
        </w:rPr>
        <w:t>Plant Signaling &amp; Behavior</w:t>
      </w:r>
      <w:r w:rsidRPr="00A82063">
        <w:rPr>
          <w:rFonts w:ascii="Times New Roman" w:eastAsia="Times New Roman" w:hAnsi="Times New Roman" w:cs="Times New Roman"/>
          <w:sz w:val="24"/>
          <w:szCs w:val="24"/>
        </w:rPr>
        <w:t xml:space="preserve">, 6(11), 1720-1731. </w:t>
      </w:r>
      <w:hyperlink r:id="rId187" w:history="1">
        <w:r w:rsidRPr="00A82063">
          <w:rPr>
            <w:rFonts w:ascii="Times New Roman" w:eastAsia="Times New Roman" w:hAnsi="Times New Roman" w:cs="Times New Roman"/>
            <w:color w:val="0000FF"/>
            <w:sz w:val="24"/>
            <w:szCs w:val="24"/>
            <w:u w:val="single"/>
          </w:rPr>
          <w:t>https://doi.org/10.4161/psb.6.11.17613</w:t>
        </w:r>
      </w:hyperlink>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Resurreccion, B. P. (2013). Persistent women and environment linkages in climate change and sustainable development agendas. </w:t>
      </w:r>
      <w:r w:rsidRPr="00A82063">
        <w:rPr>
          <w:rFonts w:ascii="Times New Roman" w:eastAsia="Times New Roman" w:hAnsi="Times New Roman" w:cs="Times New Roman"/>
          <w:i/>
          <w:iCs/>
          <w:sz w:val="24"/>
          <w:szCs w:val="24"/>
        </w:rPr>
        <w:t>Women's Studies International Forum</w:t>
      </w:r>
      <w:r w:rsidRPr="00A82063">
        <w:rPr>
          <w:rFonts w:ascii="Times New Roman" w:eastAsia="Times New Roman" w:hAnsi="Times New Roman" w:cs="Times New Roman"/>
          <w:sz w:val="24"/>
          <w:szCs w:val="24"/>
        </w:rPr>
        <w:t xml:space="preserve">, 40, 33-43. </w:t>
      </w:r>
      <w:hyperlink r:id="rId188" w:history="1">
        <w:r w:rsidRPr="00A82063">
          <w:rPr>
            <w:rFonts w:ascii="Times New Roman" w:eastAsia="Times New Roman" w:hAnsi="Times New Roman" w:cs="Times New Roman"/>
            <w:color w:val="0000FF"/>
            <w:sz w:val="24"/>
            <w:szCs w:val="24"/>
            <w:u w:val="single"/>
          </w:rPr>
          <w:t>https://doi.org/10.1016/j.wsif.2013.03.011</w:t>
        </w:r>
      </w:hyperlink>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Reyes-García, V., Guèze, M., Luz, A. C., Paneque-Gálvez, J., Macía, M. J., Orta-Martínez, M</w:t>
      </w:r>
      <w:proofErr w:type="gramStart"/>
      <w:r w:rsidRPr="00A82063">
        <w:rPr>
          <w:rFonts w:ascii="Times New Roman" w:eastAsia="Times New Roman" w:hAnsi="Times New Roman" w:cs="Times New Roman"/>
          <w:sz w:val="24"/>
          <w:szCs w:val="24"/>
        </w:rPr>
        <w:t>., ...</w:t>
      </w:r>
      <w:proofErr w:type="gramEnd"/>
      <w:r w:rsidRPr="00A82063">
        <w:rPr>
          <w:rFonts w:ascii="Times New Roman" w:eastAsia="Times New Roman" w:hAnsi="Times New Roman" w:cs="Times New Roman"/>
          <w:sz w:val="24"/>
          <w:szCs w:val="24"/>
        </w:rPr>
        <w:t xml:space="preserve"> &amp; TAPS Bolivian Study Team. (2013). Evidence of traditional knowledge loss among a contemporary indigenous society. </w:t>
      </w:r>
      <w:r w:rsidRPr="00A82063">
        <w:rPr>
          <w:rFonts w:ascii="Times New Roman" w:eastAsia="Times New Roman" w:hAnsi="Times New Roman" w:cs="Times New Roman"/>
          <w:i/>
          <w:iCs/>
          <w:sz w:val="24"/>
          <w:szCs w:val="24"/>
        </w:rPr>
        <w:t>Evolution and Human Behavior</w:t>
      </w:r>
      <w:r w:rsidRPr="00A82063">
        <w:rPr>
          <w:rFonts w:ascii="Times New Roman" w:eastAsia="Times New Roman" w:hAnsi="Times New Roman" w:cs="Times New Roman"/>
          <w:sz w:val="24"/>
          <w:szCs w:val="24"/>
        </w:rPr>
        <w:t xml:space="preserve">, 34(4), 249-257. </w:t>
      </w:r>
      <w:hyperlink r:id="rId189" w:history="1">
        <w:r w:rsidRPr="00A82063">
          <w:rPr>
            <w:rFonts w:ascii="Times New Roman" w:eastAsia="Times New Roman" w:hAnsi="Times New Roman" w:cs="Times New Roman"/>
            <w:color w:val="0000FF"/>
            <w:sz w:val="24"/>
            <w:szCs w:val="24"/>
            <w:u w:val="single"/>
          </w:rPr>
          <w:t>https://doi.org/10.1016/j.evolhumbehav.2013.03.002</w:t>
        </w:r>
      </w:hyperlink>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Robinson, M. M., &amp; Zhang, X. (2011). </w:t>
      </w:r>
      <w:r w:rsidRPr="00A82063">
        <w:rPr>
          <w:rFonts w:ascii="Times New Roman" w:eastAsia="Times New Roman" w:hAnsi="Times New Roman" w:cs="Times New Roman"/>
          <w:i/>
          <w:iCs/>
          <w:sz w:val="24"/>
          <w:szCs w:val="24"/>
        </w:rPr>
        <w:t>The World Medicines Situation 2011: Traditional Medicines: Global Situation, Issues and Challenges</w:t>
      </w:r>
      <w:r w:rsidRPr="00A82063">
        <w:rPr>
          <w:rFonts w:ascii="Times New Roman" w:eastAsia="Times New Roman" w:hAnsi="Times New Roman" w:cs="Times New Roman"/>
          <w:sz w:val="24"/>
          <w:szCs w:val="24"/>
        </w:rPr>
        <w:t>. World Health Organization.</w:t>
      </w:r>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Schultes, R. E., &amp; Raffauf, R. F. (2004). </w:t>
      </w:r>
      <w:r w:rsidRPr="00A82063">
        <w:rPr>
          <w:rFonts w:ascii="Times New Roman" w:eastAsia="Times New Roman" w:hAnsi="Times New Roman" w:cs="Times New Roman"/>
          <w:i/>
          <w:iCs/>
          <w:sz w:val="24"/>
          <w:szCs w:val="24"/>
        </w:rPr>
        <w:t>Vine of the soul: Medicine men, their plants and rituals in the Colombian Amazonia</w:t>
      </w:r>
      <w:r w:rsidRPr="00A82063">
        <w:rPr>
          <w:rFonts w:ascii="Times New Roman" w:eastAsia="Times New Roman" w:hAnsi="Times New Roman" w:cs="Times New Roman"/>
          <w:sz w:val="24"/>
          <w:szCs w:val="24"/>
        </w:rPr>
        <w:t>. Synergetic Press.</w:t>
      </w:r>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Selmar, D., &amp; Kleinwächter, M. (2013). Influencing the product quality by deliberately applying drought stress during the cultivation of medicinal plants. </w:t>
      </w:r>
      <w:r w:rsidRPr="00A82063">
        <w:rPr>
          <w:rFonts w:ascii="Times New Roman" w:eastAsia="Times New Roman" w:hAnsi="Times New Roman" w:cs="Times New Roman"/>
          <w:i/>
          <w:iCs/>
          <w:sz w:val="24"/>
          <w:szCs w:val="24"/>
        </w:rPr>
        <w:t>Industrial Crops and Products</w:t>
      </w:r>
      <w:r w:rsidRPr="00A82063">
        <w:rPr>
          <w:rFonts w:ascii="Times New Roman" w:eastAsia="Times New Roman" w:hAnsi="Times New Roman" w:cs="Times New Roman"/>
          <w:sz w:val="24"/>
          <w:szCs w:val="24"/>
        </w:rPr>
        <w:t xml:space="preserve">, 42, 558-566. </w:t>
      </w:r>
      <w:hyperlink r:id="rId190" w:history="1">
        <w:r w:rsidRPr="00A82063">
          <w:rPr>
            <w:rFonts w:ascii="Times New Roman" w:eastAsia="Times New Roman" w:hAnsi="Times New Roman" w:cs="Times New Roman"/>
            <w:color w:val="0000FF"/>
            <w:sz w:val="24"/>
            <w:szCs w:val="24"/>
            <w:u w:val="single"/>
          </w:rPr>
          <w:t>https://doi.org/10.1016/j.indcrop.2012.06.020</w:t>
        </w:r>
      </w:hyperlink>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Shahrajabian, M. H., Sun, W., &amp; Cheng, Q. (2020). Clinical aspects and health benefits of ginger (</w:t>
      </w:r>
      <w:r w:rsidRPr="00A82063">
        <w:rPr>
          <w:rFonts w:ascii="Times New Roman" w:eastAsia="Times New Roman" w:hAnsi="Times New Roman" w:cs="Times New Roman"/>
          <w:i/>
          <w:iCs/>
          <w:sz w:val="24"/>
          <w:szCs w:val="24"/>
        </w:rPr>
        <w:t>Zingiber officinale</w:t>
      </w:r>
      <w:r w:rsidRPr="00A82063">
        <w:rPr>
          <w:rFonts w:ascii="Times New Roman" w:eastAsia="Times New Roman" w:hAnsi="Times New Roman" w:cs="Times New Roman"/>
          <w:sz w:val="24"/>
          <w:szCs w:val="24"/>
        </w:rPr>
        <w:t xml:space="preserve">) in both traditional Chinese medicine and modern industry. </w:t>
      </w:r>
      <w:r w:rsidRPr="00A82063">
        <w:rPr>
          <w:rFonts w:ascii="Times New Roman" w:eastAsia="Times New Roman" w:hAnsi="Times New Roman" w:cs="Times New Roman"/>
          <w:i/>
          <w:iCs/>
          <w:sz w:val="24"/>
          <w:szCs w:val="24"/>
        </w:rPr>
        <w:t>Acta Agriculturae Scandinavica, Section B—Soil &amp; Plant Science</w:t>
      </w:r>
      <w:r w:rsidRPr="00A82063">
        <w:rPr>
          <w:rFonts w:ascii="Times New Roman" w:eastAsia="Times New Roman" w:hAnsi="Times New Roman" w:cs="Times New Roman"/>
          <w:sz w:val="24"/>
          <w:szCs w:val="24"/>
        </w:rPr>
        <w:t xml:space="preserve">, 69(6), 546-556. </w:t>
      </w:r>
      <w:hyperlink r:id="rId191" w:history="1">
        <w:r w:rsidRPr="00A82063">
          <w:rPr>
            <w:rFonts w:ascii="Times New Roman" w:eastAsia="Times New Roman" w:hAnsi="Times New Roman" w:cs="Times New Roman"/>
            <w:color w:val="0000FF"/>
            <w:sz w:val="24"/>
            <w:szCs w:val="24"/>
            <w:u w:val="single"/>
          </w:rPr>
          <w:t>https://doi.org/10.1080/09064710.2019.1606930</w:t>
        </w:r>
      </w:hyperlink>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Steinbauer, M. J., Grytnes, J. A., Jurasinski, G., Kulonen, A., Lenoir, J., Pauli, H</w:t>
      </w:r>
      <w:proofErr w:type="gramStart"/>
      <w:r w:rsidRPr="00A82063">
        <w:rPr>
          <w:rFonts w:ascii="Times New Roman" w:eastAsia="Times New Roman" w:hAnsi="Times New Roman" w:cs="Times New Roman"/>
          <w:sz w:val="24"/>
          <w:szCs w:val="24"/>
        </w:rPr>
        <w:t>., ...</w:t>
      </w:r>
      <w:proofErr w:type="gramEnd"/>
      <w:r w:rsidRPr="00A82063">
        <w:rPr>
          <w:rFonts w:ascii="Times New Roman" w:eastAsia="Times New Roman" w:hAnsi="Times New Roman" w:cs="Times New Roman"/>
          <w:sz w:val="24"/>
          <w:szCs w:val="24"/>
        </w:rPr>
        <w:t xml:space="preserve"> &amp; Wipf, S. (2018). Accelerated increase in plant species richness on mountain summits is linked to warming. </w:t>
      </w:r>
      <w:r w:rsidRPr="00A82063">
        <w:rPr>
          <w:rFonts w:ascii="Times New Roman" w:eastAsia="Times New Roman" w:hAnsi="Times New Roman" w:cs="Times New Roman"/>
          <w:i/>
          <w:iCs/>
          <w:sz w:val="24"/>
          <w:szCs w:val="24"/>
        </w:rPr>
        <w:t>Nature</w:t>
      </w:r>
      <w:r w:rsidRPr="00A82063">
        <w:rPr>
          <w:rFonts w:ascii="Times New Roman" w:eastAsia="Times New Roman" w:hAnsi="Times New Roman" w:cs="Times New Roman"/>
          <w:sz w:val="24"/>
          <w:szCs w:val="24"/>
        </w:rPr>
        <w:t xml:space="preserve">, 556(7700), 231-234. </w:t>
      </w:r>
      <w:hyperlink r:id="rId192" w:history="1">
        <w:r w:rsidRPr="00A82063">
          <w:rPr>
            <w:rFonts w:ascii="Times New Roman" w:eastAsia="Times New Roman" w:hAnsi="Times New Roman" w:cs="Times New Roman"/>
            <w:color w:val="0000FF"/>
            <w:sz w:val="24"/>
            <w:szCs w:val="24"/>
            <w:u w:val="single"/>
          </w:rPr>
          <w:t>https://doi.org/10.1038/s41586-018-0005-6</w:t>
        </w:r>
      </w:hyperlink>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Telwala, Y., Brook, B. W., Manish, K., &amp; Pandit, M. K. (2013). Climate-induced elevational range shifts and increase in plant species richness in a Himalayan biodiversity epicentre. </w:t>
      </w:r>
      <w:r w:rsidRPr="00A82063">
        <w:rPr>
          <w:rFonts w:ascii="Times New Roman" w:eastAsia="Times New Roman" w:hAnsi="Times New Roman" w:cs="Times New Roman"/>
          <w:i/>
          <w:iCs/>
          <w:sz w:val="24"/>
          <w:szCs w:val="24"/>
        </w:rPr>
        <w:t>PLOS ONE</w:t>
      </w:r>
      <w:r w:rsidRPr="00A82063">
        <w:rPr>
          <w:rFonts w:ascii="Times New Roman" w:eastAsia="Times New Roman" w:hAnsi="Times New Roman" w:cs="Times New Roman"/>
          <w:sz w:val="24"/>
          <w:szCs w:val="24"/>
        </w:rPr>
        <w:t xml:space="preserve">, 8(2), e57103. </w:t>
      </w:r>
      <w:hyperlink r:id="rId193" w:history="1">
        <w:r w:rsidRPr="00A82063">
          <w:rPr>
            <w:rFonts w:ascii="Times New Roman" w:eastAsia="Times New Roman" w:hAnsi="Times New Roman" w:cs="Times New Roman"/>
            <w:color w:val="0000FF"/>
            <w:sz w:val="24"/>
            <w:szCs w:val="24"/>
            <w:u w:val="single"/>
          </w:rPr>
          <w:t>https://doi.org/10.1371/journal.pone.0057103</w:t>
        </w:r>
      </w:hyperlink>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United Nations. (2007). </w:t>
      </w:r>
      <w:r w:rsidRPr="00A82063">
        <w:rPr>
          <w:rFonts w:ascii="Times New Roman" w:eastAsia="Times New Roman" w:hAnsi="Times New Roman" w:cs="Times New Roman"/>
          <w:i/>
          <w:iCs/>
          <w:sz w:val="24"/>
          <w:szCs w:val="24"/>
        </w:rPr>
        <w:t>United Nations Declaration on the Rights of Indigenous Peoples</w:t>
      </w:r>
      <w:r w:rsidRPr="00A82063">
        <w:rPr>
          <w:rFonts w:ascii="Times New Roman" w:eastAsia="Times New Roman" w:hAnsi="Times New Roman" w:cs="Times New Roman"/>
          <w:sz w:val="24"/>
          <w:szCs w:val="24"/>
        </w:rPr>
        <w:t>. United Nations.</w:t>
      </w:r>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Vanhove, W., Van Damme, P., &amp; Meert, N. (2012). Modeling the habitat suitability of the threatened African cherry (</w:t>
      </w:r>
      <w:r w:rsidRPr="00A82063">
        <w:rPr>
          <w:rFonts w:ascii="Times New Roman" w:eastAsia="Times New Roman" w:hAnsi="Times New Roman" w:cs="Times New Roman"/>
          <w:i/>
          <w:iCs/>
          <w:sz w:val="24"/>
          <w:szCs w:val="24"/>
        </w:rPr>
        <w:t>Prunus africana</w:t>
      </w:r>
      <w:r w:rsidRPr="00A82063">
        <w:rPr>
          <w:rFonts w:ascii="Times New Roman" w:eastAsia="Times New Roman" w:hAnsi="Times New Roman" w:cs="Times New Roman"/>
          <w:sz w:val="24"/>
          <w:szCs w:val="24"/>
        </w:rPr>
        <w:t xml:space="preserve"> (Hook. f.) Kalkman) in the north of Madagascar. </w:t>
      </w:r>
      <w:r w:rsidRPr="00A82063">
        <w:rPr>
          <w:rFonts w:ascii="Times New Roman" w:eastAsia="Times New Roman" w:hAnsi="Times New Roman" w:cs="Times New Roman"/>
          <w:i/>
          <w:iCs/>
          <w:sz w:val="24"/>
          <w:szCs w:val="24"/>
        </w:rPr>
        <w:t>Agroforestry Systems</w:t>
      </w:r>
      <w:r w:rsidRPr="00A82063">
        <w:rPr>
          <w:rFonts w:ascii="Times New Roman" w:eastAsia="Times New Roman" w:hAnsi="Times New Roman" w:cs="Times New Roman"/>
          <w:sz w:val="24"/>
          <w:szCs w:val="24"/>
        </w:rPr>
        <w:t xml:space="preserve">, 85(1), 109-123. </w:t>
      </w:r>
      <w:hyperlink r:id="rId194" w:history="1">
        <w:r w:rsidRPr="00A82063">
          <w:rPr>
            <w:rFonts w:ascii="Times New Roman" w:eastAsia="Times New Roman" w:hAnsi="Times New Roman" w:cs="Times New Roman"/>
            <w:color w:val="0000FF"/>
            <w:sz w:val="24"/>
            <w:szCs w:val="24"/>
            <w:u w:val="single"/>
          </w:rPr>
          <w:t>https://doi.org/10.1007/s10457-011-9445-2</w:t>
        </w:r>
      </w:hyperlink>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Van Wyk, B. E., &amp; Wink, M. (2018). </w:t>
      </w:r>
      <w:r w:rsidRPr="00A82063">
        <w:rPr>
          <w:rFonts w:ascii="Times New Roman" w:eastAsia="Times New Roman" w:hAnsi="Times New Roman" w:cs="Times New Roman"/>
          <w:i/>
          <w:iCs/>
          <w:sz w:val="24"/>
          <w:szCs w:val="24"/>
        </w:rPr>
        <w:t>Medicinal plants of the world</w:t>
      </w:r>
      <w:r w:rsidRPr="00A82063">
        <w:rPr>
          <w:rFonts w:ascii="Times New Roman" w:eastAsia="Times New Roman" w:hAnsi="Times New Roman" w:cs="Times New Roman"/>
          <w:sz w:val="24"/>
          <w:szCs w:val="24"/>
        </w:rPr>
        <w:t xml:space="preserve"> (2nd </w:t>
      </w:r>
      <w:proofErr w:type="gramStart"/>
      <w:r w:rsidRPr="00A82063">
        <w:rPr>
          <w:rFonts w:ascii="Times New Roman" w:eastAsia="Times New Roman" w:hAnsi="Times New Roman" w:cs="Times New Roman"/>
          <w:sz w:val="24"/>
          <w:szCs w:val="24"/>
        </w:rPr>
        <w:t>ed</w:t>
      </w:r>
      <w:proofErr w:type="gramEnd"/>
      <w:r w:rsidRPr="00A82063">
        <w:rPr>
          <w:rFonts w:ascii="Times New Roman" w:eastAsia="Times New Roman" w:hAnsi="Times New Roman" w:cs="Times New Roman"/>
          <w:sz w:val="24"/>
          <w:szCs w:val="24"/>
        </w:rPr>
        <w:t>.). CABI.</w:t>
      </w:r>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Williams, V. L., Witkowski, E. T. F., &amp; Balkwill, K. (2013). The use of incidence-based species richness estimators, species accumulation curves and similarity measures to appraise ethnobotanical inventories from South Africa. </w:t>
      </w:r>
      <w:r w:rsidRPr="00A82063">
        <w:rPr>
          <w:rFonts w:ascii="Times New Roman" w:eastAsia="Times New Roman" w:hAnsi="Times New Roman" w:cs="Times New Roman"/>
          <w:i/>
          <w:iCs/>
          <w:sz w:val="24"/>
          <w:szCs w:val="24"/>
        </w:rPr>
        <w:t>Biodiversity and Conservation</w:t>
      </w:r>
      <w:r w:rsidRPr="00A82063">
        <w:rPr>
          <w:rFonts w:ascii="Times New Roman" w:eastAsia="Times New Roman" w:hAnsi="Times New Roman" w:cs="Times New Roman"/>
          <w:sz w:val="24"/>
          <w:szCs w:val="24"/>
        </w:rPr>
        <w:t xml:space="preserve">, 22(11), 2495-2514. </w:t>
      </w:r>
      <w:hyperlink r:id="rId195" w:history="1">
        <w:r w:rsidRPr="00A82063">
          <w:rPr>
            <w:rFonts w:ascii="Times New Roman" w:eastAsia="Times New Roman" w:hAnsi="Times New Roman" w:cs="Times New Roman"/>
            <w:color w:val="0000FF"/>
            <w:sz w:val="24"/>
            <w:szCs w:val="24"/>
            <w:u w:val="single"/>
          </w:rPr>
          <w:t>https://doi.org/10.1007/s10531-013-0503-2</w:t>
        </w:r>
      </w:hyperlink>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World Health Organization. (2013). </w:t>
      </w:r>
      <w:r w:rsidRPr="00A82063">
        <w:rPr>
          <w:rFonts w:ascii="Times New Roman" w:eastAsia="Times New Roman" w:hAnsi="Times New Roman" w:cs="Times New Roman"/>
          <w:i/>
          <w:iCs/>
          <w:sz w:val="24"/>
          <w:szCs w:val="24"/>
        </w:rPr>
        <w:t>WHO Traditional Medicine Strategy 2014-2023</w:t>
      </w:r>
      <w:r w:rsidRPr="00A82063">
        <w:rPr>
          <w:rFonts w:ascii="Times New Roman" w:eastAsia="Times New Roman" w:hAnsi="Times New Roman" w:cs="Times New Roman"/>
          <w:sz w:val="24"/>
          <w:szCs w:val="24"/>
        </w:rPr>
        <w:t>. World Health Organization.</w:t>
      </w:r>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World Health Organization. (2019). </w:t>
      </w:r>
      <w:r w:rsidRPr="00A82063">
        <w:rPr>
          <w:rFonts w:ascii="Times New Roman" w:eastAsia="Times New Roman" w:hAnsi="Times New Roman" w:cs="Times New Roman"/>
          <w:i/>
          <w:iCs/>
          <w:sz w:val="24"/>
          <w:szCs w:val="24"/>
        </w:rPr>
        <w:t>WHO Global Report on Traditional and Complementary Medicine 2019</w:t>
      </w:r>
      <w:r w:rsidRPr="00A82063">
        <w:rPr>
          <w:rFonts w:ascii="Times New Roman" w:eastAsia="Times New Roman" w:hAnsi="Times New Roman" w:cs="Times New Roman"/>
          <w:sz w:val="24"/>
          <w:szCs w:val="24"/>
        </w:rPr>
        <w:t>. World Health Organization.</w:t>
      </w:r>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lastRenderedPageBreak/>
        <w:t>Xu, Z., Peters, R. J., Weirather, J., Luo, H., Liao, B., Zhang, X</w:t>
      </w:r>
      <w:proofErr w:type="gramStart"/>
      <w:r w:rsidRPr="00A82063">
        <w:rPr>
          <w:rFonts w:ascii="Times New Roman" w:eastAsia="Times New Roman" w:hAnsi="Times New Roman" w:cs="Times New Roman"/>
          <w:sz w:val="24"/>
          <w:szCs w:val="24"/>
        </w:rPr>
        <w:t>., ...</w:t>
      </w:r>
      <w:proofErr w:type="gramEnd"/>
      <w:r w:rsidRPr="00A82063">
        <w:rPr>
          <w:rFonts w:ascii="Times New Roman" w:eastAsia="Times New Roman" w:hAnsi="Times New Roman" w:cs="Times New Roman"/>
          <w:sz w:val="24"/>
          <w:szCs w:val="24"/>
        </w:rPr>
        <w:t xml:space="preserve"> &amp; Huang, L. (2008). Full-length transcriptome sequences and splice variants obtained by a combination of sequencing platforms applied to different root tissues of </w:t>
      </w:r>
      <w:r w:rsidRPr="00A82063">
        <w:rPr>
          <w:rFonts w:ascii="Times New Roman" w:eastAsia="Times New Roman" w:hAnsi="Times New Roman" w:cs="Times New Roman"/>
          <w:i/>
          <w:iCs/>
          <w:sz w:val="24"/>
          <w:szCs w:val="24"/>
        </w:rPr>
        <w:t>Salvia miltiorrhiza</w:t>
      </w:r>
      <w:r w:rsidRPr="00A82063">
        <w:rPr>
          <w:rFonts w:ascii="Times New Roman" w:eastAsia="Times New Roman" w:hAnsi="Times New Roman" w:cs="Times New Roman"/>
          <w:sz w:val="24"/>
          <w:szCs w:val="24"/>
        </w:rPr>
        <w:t xml:space="preserve"> and tanshinone biosynthesis. </w:t>
      </w:r>
      <w:r w:rsidRPr="00A82063">
        <w:rPr>
          <w:rFonts w:ascii="Times New Roman" w:eastAsia="Times New Roman" w:hAnsi="Times New Roman" w:cs="Times New Roman"/>
          <w:i/>
          <w:iCs/>
          <w:sz w:val="24"/>
          <w:szCs w:val="24"/>
        </w:rPr>
        <w:t>The Plant Journal</w:t>
      </w:r>
      <w:r w:rsidRPr="00A82063">
        <w:rPr>
          <w:rFonts w:ascii="Times New Roman" w:eastAsia="Times New Roman" w:hAnsi="Times New Roman" w:cs="Times New Roman"/>
          <w:sz w:val="24"/>
          <w:szCs w:val="24"/>
        </w:rPr>
        <w:t>, 82(6), 951-961.</w:t>
      </w:r>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 xml:space="preserve">Yadav, R. K., Sangwan, R. S., Sabir, F., Srivastava, A. K., &amp; Sangwan, N. S. (2014). Effect of prolonged water stress on specialized secondary metabolites, peltate glandular trichomes, and pathway gene expression in </w:t>
      </w:r>
      <w:r w:rsidRPr="00A82063">
        <w:rPr>
          <w:rFonts w:ascii="Times New Roman" w:eastAsia="Times New Roman" w:hAnsi="Times New Roman" w:cs="Times New Roman"/>
          <w:i/>
          <w:iCs/>
          <w:sz w:val="24"/>
          <w:szCs w:val="24"/>
        </w:rPr>
        <w:t>Artemisia annua</w:t>
      </w:r>
      <w:r w:rsidRPr="00A82063">
        <w:rPr>
          <w:rFonts w:ascii="Times New Roman" w:eastAsia="Times New Roman" w:hAnsi="Times New Roman" w:cs="Times New Roman"/>
          <w:sz w:val="24"/>
          <w:szCs w:val="24"/>
        </w:rPr>
        <w:t xml:space="preserve"> L. </w:t>
      </w:r>
      <w:r w:rsidRPr="00A82063">
        <w:rPr>
          <w:rFonts w:ascii="Times New Roman" w:eastAsia="Times New Roman" w:hAnsi="Times New Roman" w:cs="Times New Roman"/>
          <w:i/>
          <w:iCs/>
          <w:sz w:val="24"/>
          <w:szCs w:val="24"/>
        </w:rPr>
        <w:t>Plant Physiology and Biochemistry</w:t>
      </w:r>
      <w:r w:rsidRPr="00A82063">
        <w:rPr>
          <w:rFonts w:ascii="Times New Roman" w:eastAsia="Times New Roman" w:hAnsi="Times New Roman" w:cs="Times New Roman"/>
          <w:sz w:val="24"/>
          <w:szCs w:val="24"/>
        </w:rPr>
        <w:t xml:space="preserve">, 74, 70-83. </w:t>
      </w:r>
      <w:hyperlink r:id="rId196" w:history="1">
        <w:r w:rsidRPr="00A82063">
          <w:rPr>
            <w:rFonts w:ascii="Times New Roman" w:eastAsia="Times New Roman" w:hAnsi="Times New Roman" w:cs="Times New Roman"/>
            <w:color w:val="0000FF"/>
            <w:sz w:val="24"/>
            <w:szCs w:val="24"/>
            <w:u w:val="single"/>
          </w:rPr>
          <w:t>https://doi.org/10.1016/j.plaphy.2013.10.023</w:t>
        </w:r>
      </w:hyperlink>
    </w:p>
    <w:p w:rsidR="0045421A" w:rsidRPr="00A82063" w:rsidRDefault="0045421A" w:rsidP="00A82063">
      <w:pPr>
        <w:pStyle w:val="ListParagraph"/>
        <w:numPr>
          <w:ilvl w:val="0"/>
          <w:numId w:val="11"/>
        </w:numPr>
        <w:jc w:val="both"/>
        <w:rPr>
          <w:rFonts w:ascii="Times New Roman" w:eastAsia="Times New Roman" w:hAnsi="Times New Roman" w:cs="Times New Roman"/>
          <w:sz w:val="24"/>
          <w:szCs w:val="24"/>
        </w:rPr>
      </w:pPr>
      <w:r w:rsidRPr="00A82063">
        <w:rPr>
          <w:rFonts w:ascii="Times New Roman" w:eastAsia="Times New Roman" w:hAnsi="Times New Roman" w:cs="Times New Roman"/>
          <w:sz w:val="24"/>
          <w:szCs w:val="24"/>
        </w:rPr>
        <w:t>Zobayed, S. M. A., Afreen, F., Goto, E., &amp; Kozai, T. (2007). Plant-environment interactions</w:t>
      </w:r>
      <w:bookmarkStart w:id="0" w:name="_GoBack"/>
      <w:bookmarkEnd w:id="0"/>
      <w:r w:rsidRPr="00A82063">
        <w:rPr>
          <w:rFonts w:ascii="Times New Roman" w:eastAsia="Times New Roman" w:hAnsi="Times New Roman" w:cs="Times New Roman"/>
          <w:sz w:val="24"/>
          <w:szCs w:val="24"/>
        </w:rPr>
        <w:t xml:space="preserve">: Accumulation of hypericin in dark glands of </w:t>
      </w:r>
      <w:r w:rsidRPr="00A82063">
        <w:rPr>
          <w:rFonts w:ascii="Times New Roman" w:eastAsia="Times New Roman" w:hAnsi="Times New Roman" w:cs="Times New Roman"/>
          <w:i/>
          <w:iCs/>
          <w:sz w:val="24"/>
          <w:szCs w:val="24"/>
        </w:rPr>
        <w:t>Hypericum perforatum</w:t>
      </w:r>
      <w:r w:rsidRPr="00A82063">
        <w:rPr>
          <w:rFonts w:ascii="Times New Roman" w:eastAsia="Times New Roman" w:hAnsi="Times New Roman" w:cs="Times New Roman"/>
          <w:sz w:val="24"/>
          <w:szCs w:val="24"/>
        </w:rPr>
        <w:t xml:space="preserve">. </w:t>
      </w:r>
      <w:r w:rsidRPr="00A82063">
        <w:rPr>
          <w:rFonts w:ascii="Times New Roman" w:eastAsia="Times New Roman" w:hAnsi="Times New Roman" w:cs="Times New Roman"/>
          <w:i/>
          <w:iCs/>
          <w:sz w:val="24"/>
          <w:szCs w:val="24"/>
        </w:rPr>
        <w:t>Annals of Botany</w:t>
      </w:r>
      <w:r w:rsidRPr="00A82063">
        <w:rPr>
          <w:rFonts w:ascii="Times New Roman" w:eastAsia="Times New Roman" w:hAnsi="Times New Roman" w:cs="Times New Roman"/>
          <w:sz w:val="24"/>
          <w:szCs w:val="24"/>
        </w:rPr>
        <w:t xml:space="preserve">, 98(4), 793-804. </w:t>
      </w:r>
      <w:hyperlink r:id="rId197" w:history="1">
        <w:r w:rsidRPr="00A82063">
          <w:rPr>
            <w:rFonts w:ascii="Times New Roman" w:eastAsia="Times New Roman" w:hAnsi="Times New Roman" w:cs="Times New Roman"/>
            <w:color w:val="0000FF"/>
            <w:sz w:val="24"/>
            <w:szCs w:val="24"/>
            <w:u w:val="single"/>
          </w:rPr>
          <w:t>https://doi.org/10.1093/aob/mcl169</w:t>
        </w:r>
      </w:hyperlink>
    </w:p>
    <w:p w:rsidR="00F4187E" w:rsidRPr="00B14CCC" w:rsidRDefault="00F4187E" w:rsidP="00B14CCC">
      <w:pPr>
        <w:jc w:val="both"/>
        <w:rPr>
          <w:rFonts w:ascii="Times New Roman" w:hAnsi="Times New Roman" w:cs="Times New Roman"/>
          <w:sz w:val="24"/>
          <w:szCs w:val="24"/>
        </w:rPr>
      </w:pPr>
    </w:p>
    <w:sectPr w:rsidR="00F4187E" w:rsidRPr="00B14CCC" w:rsidSect="00B14CCC">
      <w:headerReference w:type="default" r:id="rId198"/>
      <w:footerReference w:type="default" r:id="rId19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385" w:rsidRDefault="00C92385" w:rsidP="00283F26">
      <w:pPr>
        <w:spacing w:after="0" w:line="240" w:lineRule="auto"/>
      </w:pPr>
      <w:r>
        <w:separator/>
      </w:r>
    </w:p>
  </w:endnote>
  <w:endnote w:type="continuationSeparator" w:id="0">
    <w:p w:rsidR="00C92385" w:rsidRDefault="00C92385" w:rsidP="00283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CCC" w:rsidRPr="00B14CCC" w:rsidRDefault="00B14CCC" w:rsidP="00B14CCC">
    <w:pPr>
      <w:pStyle w:val="Footer"/>
      <w:jc w:val="right"/>
      <w:rPr>
        <w:rFonts w:ascii="Times New Roman" w:hAnsi="Times New Roman" w:cs="Times New Roman"/>
        <w:i/>
        <w:sz w:val="24"/>
        <w:szCs w:val="24"/>
      </w:rPr>
    </w:pPr>
    <w:r w:rsidRPr="00B14CCC">
      <w:rPr>
        <w:rFonts w:ascii="Times New Roman" w:hAnsi="Times New Roman" w:cs="Times New Roman"/>
        <w:i/>
        <w:sz w:val="24"/>
        <w:szCs w:val="24"/>
      </w:rPr>
      <w:t xml:space="preserve">Vol. 1, No. </w:t>
    </w:r>
    <w:r w:rsidR="00A82063">
      <w:rPr>
        <w:rFonts w:ascii="Times New Roman" w:hAnsi="Times New Roman" w:cs="Times New Roman"/>
        <w:i/>
        <w:sz w:val="24"/>
        <w:szCs w:val="24"/>
      </w:rPr>
      <w:t>2</w:t>
    </w:r>
    <w:r w:rsidRPr="00B14CCC">
      <w:rPr>
        <w:rFonts w:ascii="Times New Roman" w:hAnsi="Times New Roman" w:cs="Times New Roman"/>
        <w:i/>
        <w:sz w:val="24"/>
        <w:szCs w:val="24"/>
      </w:rPr>
      <w:t>, J</w:t>
    </w:r>
    <w:r w:rsidR="00A82063">
      <w:rPr>
        <w:rFonts w:ascii="Times New Roman" w:hAnsi="Times New Roman" w:cs="Times New Roman"/>
        <w:i/>
        <w:sz w:val="24"/>
        <w:szCs w:val="24"/>
      </w:rPr>
      <w:t>uly</w:t>
    </w:r>
    <w:r w:rsidRPr="00B14CCC">
      <w:rPr>
        <w:rFonts w:ascii="Times New Roman" w:hAnsi="Times New Roman" w:cs="Times New Roman"/>
        <w:i/>
        <w:sz w:val="24"/>
        <w:szCs w:val="24"/>
      </w:rPr>
      <w:t>-</w:t>
    </w:r>
    <w:r w:rsidR="00A82063">
      <w:rPr>
        <w:rFonts w:ascii="Times New Roman" w:hAnsi="Times New Roman" w:cs="Times New Roman"/>
        <w:i/>
        <w:sz w:val="24"/>
        <w:szCs w:val="24"/>
      </w:rPr>
      <w:t>December</w:t>
    </w:r>
    <w:r w:rsidRPr="00B14CCC">
      <w:rPr>
        <w:rFonts w:ascii="Times New Roman" w:hAnsi="Times New Roman" w:cs="Times New Roman"/>
        <w:i/>
        <w:sz w:val="24"/>
        <w:szCs w:val="24"/>
      </w:rPr>
      <w:t xml:space="preserve"> 2025     </w:t>
    </w:r>
    <w:proofErr w:type="gramStart"/>
    <w:r w:rsidRPr="00B14CCC">
      <w:rPr>
        <w:rFonts w:ascii="Times New Roman" w:hAnsi="Times New Roman" w:cs="Times New Roman"/>
        <w:i/>
        <w:sz w:val="24"/>
        <w:szCs w:val="24"/>
      </w:rPr>
      <w:t>Website :</w:t>
    </w:r>
    <w:proofErr w:type="gramEnd"/>
    <w:r w:rsidRPr="00B14CCC">
      <w:rPr>
        <w:rFonts w:ascii="Times New Roman" w:hAnsi="Times New Roman" w:cs="Times New Roman"/>
        <w:i/>
        <w:sz w:val="24"/>
        <w:szCs w:val="24"/>
      </w:rPr>
      <w:t xml:space="preserve"> https://ijim.net/                                          </w:t>
    </w:r>
    <w:sdt>
      <w:sdtPr>
        <w:rPr>
          <w:rFonts w:ascii="Times New Roman" w:hAnsi="Times New Roman" w:cs="Times New Roman"/>
          <w:i/>
          <w:sz w:val="24"/>
          <w:szCs w:val="24"/>
        </w:rPr>
        <w:id w:val="1996450781"/>
        <w:docPartObj>
          <w:docPartGallery w:val="Page Numbers (Bottom of Page)"/>
          <w:docPartUnique/>
        </w:docPartObj>
      </w:sdtPr>
      <w:sdtEndPr>
        <w:rPr>
          <w:noProof/>
        </w:rPr>
      </w:sdtEndPr>
      <w:sdtContent>
        <w:r w:rsidRPr="00B14CCC">
          <w:rPr>
            <w:rFonts w:ascii="Times New Roman" w:hAnsi="Times New Roman" w:cs="Times New Roman"/>
            <w:i/>
            <w:sz w:val="24"/>
            <w:szCs w:val="24"/>
          </w:rPr>
          <w:fldChar w:fldCharType="begin"/>
        </w:r>
        <w:r w:rsidRPr="00B14CCC">
          <w:rPr>
            <w:rFonts w:ascii="Times New Roman" w:hAnsi="Times New Roman" w:cs="Times New Roman"/>
            <w:i/>
            <w:sz w:val="24"/>
            <w:szCs w:val="24"/>
          </w:rPr>
          <w:instrText xml:space="preserve"> PAGE   \* MERGEFORMAT </w:instrText>
        </w:r>
        <w:r w:rsidRPr="00B14CCC">
          <w:rPr>
            <w:rFonts w:ascii="Times New Roman" w:hAnsi="Times New Roman" w:cs="Times New Roman"/>
            <w:i/>
            <w:sz w:val="24"/>
            <w:szCs w:val="24"/>
          </w:rPr>
          <w:fldChar w:fldCharType="separate"/>
        </w:r>
        <w:r w:rsidR="003867B7">
          <w:rPr>
            <w:rFonts w:ascii="Times New Roman" w:hAnsi="Times New Roman" w:cs="Times New Roman"/>
            <w:i/>
            <w:noProof/>
            <w:sz w:val="24"/>
            <w:szCs w:val="24"/>
          </w:rPr>
          <w:t>1</w:t>
        </w:r>
        <w:r w:rsidRPr="00B14CCC">
          <w:rPr>
            <w:rFonts w:ascii="Times New Roman" w:hAnsi="Times New Roman" w:cs="Times New Roman"/>
            <w:i/>
            <w:noProof/>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385" w:rsidRDefault="00C92385" w:rsidP="00283F26">
      <w:pPr>
        <w:spacing w:after="0" w:line="240" w:lineRule="auto"/>
      </w:pPr>
      <w:r>
        <w:separator/>
      </w:r>
    </w:p>
  </w:footnote>
  <w:footnote w:type="continuationSeparator" w:id="0">
    <w:p w:rsidR="00C92385" w:rsidRDefault="00C92385" w:rsidP="00283F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CCC" w:rsidRPr="00B14CCC" w:rsidRDefault="00B14CCC" w:rsidP="00B14CCC">
    <w:pPr>
      <w:pStyle w:val="Header"/>
      <w:jc w:val="center"/>
      <w:rPr>
        <w:rFonts w:ascii="Bodoni MT Condensed" w:hAnsi="Bodoni MT Condensed"/>
        <w:b/>
        <w:i/>
        <w:color w:val="002060"/>
        <w:sz w:val="36"/>
      </w:rPr>
    </w:pPr>
    <w:r w:rsidRPr="00B14CCC">
      <w:rPr>
        <w:rFonts w:ascii="Bodoni MT Condensed" w:hAnsi="Bodoni MT Condensed"/>
        <w:b/>
        <w:i/>
        <w:color w:val="002060"/>
        <w:sz w:val="36"/>
      </w:rPr>
      <w:t>International Journal of Indigenous Medicine</w:t>
    </w:r>
  </w:p>
  <w:p w:rsidR="00B14CCC" w:rsidRDefault="00B14C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C54B3"/>
    <w:multiLevelType w:val="hybridMultilevel"/>
    <w:tmpl w:val="44F26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7030F0"/>
    <w:multiLevelType w:val="hybridMultilevel"/>
    <w:tmpl w:val="44607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A93780"/>
    <w:multiLevelType w:val="hybridMultilevel"/>
    <w:tmpl w:val="DAC8B398"/>
    <w:lvl w:ilvl="0" w:tplc="31527C0E">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75F16DB"/>
    <w:multiLevelType w:val="hybridMultilevel"/>
    <w:tmpl w:val="A8869E2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957D03"/>
    <w:multiLevelType w:val="hybridMultilevel"/>
    <w:tmpl w:val="6F5C8F2A"/>
    <w:lvl w:ilvl="0" w:tplc="31527C0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8B3D58"/>
    <w:multiLevelType w:val="hybridMultilevel"/>
    <w:tmpl w:val="5062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487436"/>
    <w:multiLevelType w:val="hybridMultilevel"/>
    <w:tmpl w:val="0454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A554B2"/>
    <w:multiLevelType w:val="hybridMultilevel"/>
    <w:tmpl w:val="02049AEE"/>
    <w:lvl w:ilvl="0" w:tplc="31527C0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564067"/>
    <w:multiLevelType w:val="hybridMultilevel"/>
    <w:tmpl w:val="6302C38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9345B9"/>
    <w:multiLevelType w:val="hybridMultilevel"/>
    <w:tmpl w:val="389AE85A"/>
    <w:lvl w:ilvl="0" w:tplc="31527C0E">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9B9044E"/>
    <w:multiLevelType w:val="hybridMultilevel"/>
    <w:tmpl w:val="A6DE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3"/>
  </w:num>
  <w:num w:numId="5">
    <w:abstractNumId w:val="6"/>
  </w:num>
  <w:num w:numId="6">
    <w:abstractNumId w:val="10"/>
  </w:num>
  <w:num w:numId="7">
    <w:abstractNumId w:val="0"/>
  </w:num>
  <w:num w:numId="8">
    <w:abstractNumId w:val="2"/>
  </w:num>
  <w:num w:numId="9">
    <w:abstractNumId w:val="4"/>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0A"/>
    <w:rsid w:val="000216FD"/>
    <w:rsid w:val="0010387B"/>
    <w:rsid w:val="001E050A"/>
    <w:rsid w:val="00283F26"/>
    <w:rsid w:val="003867B7"/>
    <w:rsid w:val="003A55A4"/>
    <w:rsid w:val="003D7F96"/>
    <w:rsid w:val="0045421A"/>
    <w:rsid w:val="0056570F"/>
    <w:rsid w:val="006456CC"/>
    <w:rsid w:val="006F2210"/>
    <w:rsid w:val="007C3364"/>
    <w:rsid w:val="008A40D3"/>
    <w:rsid w:val="009176DB"/>
    <w:rsid w:val="009E2B4A"/>
    <w:rsid w:val="00A82063"/>
    <w:rsid w:val="00B14CCC"/>
    <w:rsid w:val="00B74093"/>
    <w:rsid w:val="00BA062D"/>
    <w:rsid w:val="00C92385"/>
    <w:rsid w:val="00CC7820"/>
    <w:rsid w:val="00CF0913"/>
    <w:rsid w:val="00D345D1"/>
    <w:rsid w:val="00E13B3C"/>
    <w:rsid w:val="00F41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13B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13B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13B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F0913"/>
    <w:rPr>
      <w:b/>
      <w:bCs/>
    </w:rPr>
  </w:style>
  <w:style w:type="paragraph" w:styleId="ListParagraph">
    <w:name w:val="List Paragraph"/>
    <w:basedOn w:val="Normal"/>
    <w:uiPriority w:val="34"/>
    <w:qFormat/>
    <w:rsid w:val="00CF0913"/>
    <w:pPr>
      <w:ind w:left="720"/>
      <w:contextualSpacing/>
    </w:pPr>
  </w:style>
  <w:style w:type="character" w:customStyle="1" w:styleId="Heading1Char">
    <w:name w:val="Heading 1 Char"/>
    <w:basedOn w:val="DefaultParagraphFont"/>
    <w:link w:val="Heading1"/>
    <w:uiPriority w:val="9"/>
    <w:rsid w:val="00E13B3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13B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3B3C"/>
    <w:rPr>
      <w:rFonts w:ascii="Times New Roman" w:eastAsia="Times New Roman" w:hAnsi="Times New Roman" w:cs="Times New Roman"/>
      <w:b/>
      <w:bCs/>
      <w:sz w:val="27"/>
      <w:szCs w:val="27"/>
    </w:rPr>
  </w:style>
  <w:style w:type="paragraph" w:customStyle="1" w:styleId="whitespace-normal">
    <w:name w:val="whitespace-normal"/>
    <w:basedOn w:val="Normal"/>
    <w:rsid w:val="00E13B3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13B3C"/>
    <w:rPr>
      <w:i/>
      <w:iCs/>
    </w:rPr>
  </w:style>
  <w:style w:type="character" w:styleId="Hyperlink">
    <w:name w:val="Hyperlink"/>
    <w:basedOn w:val="DefaultParagraphFont"/>
    <w:uiPriority w:val="99"/>
    <w:unhideWhenUsed/>
    <w:rsid w:val="00E13B3C"/>
    <w:rPr>
      <w:color w:val="0000FF"/>
      <w:u w:val="single"/>
    </w:rPr>
  </w:style>
  <w:style w:type="paragraph" w:customStyle="1" w:styleId="whitespace-pre-wrap">
    <w:name w:val="whitespace-pre-wrap"/>
    <w:basedOn w:val="Normal"/>
    <w:rsid w:val="006F221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F2210"/>
    <w:rPr>
      <w:color w:val="800080"/>
      <w:u w:val="single"/>
    </w:rPr>
  </w:style>
  <w:style w:type="paragraph" w:styleId="Header">
    <w:name w:val="header"/>
    <w:basedOn w:val="Normal"/>
    <w:link w:val="HeaderChar"/>
    <w:uiPriority w:val="99"/>
    <w:unhideWhenUsed/>
    <w:rsid w:val="00283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F26"/>
  </w:style>
  <w:style w:type="paragraph" w:styleId="Footer">
    <w:name w:val="footer"/>
    <w:basedOn w:val="Normal"/>
    <w:link w:val="FooterChar"/>
    <w:uiPriority w:val="99"/>
    <w:unhideWhenUsed/>
    <w:rsid w:val="00283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F26"/>
  </w:style>
  <w:style w:type="paragraph" w:styleId="HTMLPreformatted">
    <w:name w:val="HTML Preformatted"/>
    <w:basedOn w:val="Normal"/>
    <w:link w:val="HTMLPreformattedChar"/>
    <w:uiPriority w:val="99"/>
    <w:semiHidden/>
    <w:unhideWhenUsed/>
    <w:rsid w:val="000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216F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13B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13B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13B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F0913"/>
    <w:rPr>
      <w:b/>
      <w:bCs/>
    </w:rPr>
  </w:style>
  <w:style w:type="paragraph" w:styleId="ListParagraph">
    <w:name w:val="List Paragraph"/>
    <w:basedOn w:val="Normal"/>
    <w:uiPriority w:val="34"/>
    <w:qFormat/>
    <w:rsid w:val="00CF0913"/>
    <w:pPr>
      <w:ind w:left="720"/>
      <w:contextualSpacing/>
    </w:pPr>
  </w:style>
  <w:style w:type="character" w:customStyle="1" w:styleId="Heading1Char">
    <w:name w:val="Heading 1 Char"/>
    <w:basedOn w:val="DefaultParagraphFont"/>
    <w:link w:val="Heading1"/>
    <w:uiPriority w:val="9"/>
    <w:rsid w:val="00E13B3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13B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3B3C"/>
    <w:rPr>
      <w:rFonts w:ascii="Times New Roman" w:eastAsia="Times New Roman" w:hAnsi="Times New Roman" w:cs="Times New Roman"/>
      <w:b/>
      <w:bCs/>
      <w:sz w:val="27"/>
      <w:szCs w:val="27"/>
    </w:rPr>
  </w:style>
  <w:style w:type="paragraph" w:customStyle="1" w:styleId="whitespace-normal">
    <w:name w:val="whitespace-normal"/>
    <w:basedOn w:val="Normal"/>
    <w:rsid w:val="00E13B3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13B3C"/>
    <w:rPr>
      <w:i/>
      <w:iCs/>
    </w:rPr>
  </w:style>
  <w:style w:type="character" w:styleId="Hyperlink">
    <w:name w:val="Hyperlink"/>
    <w:basedOn w:val="DefaultParagraphFont"/>
    <w:uiPriority w:val="99"/>
    <w:unhideWhenUsed/>
    <w:rsid w:val="00E13B3C"/>
    <w:rPr>
      <w:color w:val="0000FF"/>
      <w:u w:val="single"/>
    </w:rPr>
  </w:style>
  <w:style w:type="paragraph" w:customStyle="1" w:styleId="whitespace-pre-wrap">
    <w:name w:val="whitespace-pre-wrap"/>
    <w:basedOn w:val="Normal"/>
    <w:rsid w:val="006F221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F2210"/>
    <w:rPr>
      <w:color w:val="800080"/>
      <w:u w:val="single"/>
    </w:rPr>
  </w:style>
  <w:style w:type="paragraph" w:styleId="Header">
    <w:name w:val="header"/>
    <w:basedOn w:val="Normal"/>
    <w:link w:val="HeaderChar"/>
    <w:uiPriority w:val="99"/>
    <w:unhideWhenUsed/>
    <w:rsid w:val="00283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F26"/>
  </w:style>
  <w:style w:type="paragraph" w:styleId="Footer">
    <w:name w:val="footer"/>
    <w:basedOn w:val="Normal"/>
    <w:link w:val="FooterChar"/>
    <w:uiPriority w:val="99"/>
    <w:unhideWhenUsed/>
    <w:rsid w:val="00283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F26"/>
  </w:style>
  <w:style w:type="paragraph" w:styleId="HTMLPreformatted">
    <w:name w:val="HTML Preformatted"/>
    <w:basedOn w:val="Normal"/>
    <w:link w:val="HTMLPreformattedChar"/>
    <w:uiPriority w:val="99"/>
    <w:semiHidden/>
    <w:unhideWhenUsed/>
    <w:rsid w:val="00021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216F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84602">
      <w:bodyDiv w:val="1"/>
      <w:marLeft w:val="0"/>
      <w:marRight w:val="0"/>
      <w:marTop w:val="0"/>
      <w:marBottom w:val="0"/>
      <w:divBdr>
        <w:top w:val="none" w:sz="0" w:space="0" w:color="auto"/>
        <w:left w:val="none" w:sz="0" w:space="0" w:color="auto"/>
        <w:bottom w:val="none" w:sz="0" w:space="0" w:color="auto"/>
        <w:right w:val="none" w:sz="0" w:space="0" w:color="auto"/>
      </w:divBdr>
      <w:divsChild>
        <w:div w:id="11880732">
          <w:marLeft w:val="0"/>
          <w:marRight w:val="0"/>
          <w:marTop w:val="0"/>
          <w:marBottom w:val="0"/>
          <w:divBdr>
            <w:top w:val="none" w:sz="0" w:space="0" w:color="auto"/>
            <w:left w:val="none" w:sz="0" w:space="0" w:color="auto"/>
            <w:bottom w:val="none" w:sz="0" w:space="0" w:color="auto"/>
            <w:right w:val="none" w:sz="0" w:space="0" w:color="auto"/>
          </w:divBdr>
          <w:divsChild>
            <w:div w:id="1048918847">
              <w:marLeft w:val="0"/>
              <w:marRight w:val="0"/>
              <w:marTop w:val="0"/>
              <w:marBottom w:val="0"/>
              <w:divBdr>
                <w:top w:val="none" w:sz="0" w:space="0" w:color="auto"/>
                <w:left w:val="none" w:sz="0" w:space="0" w:color="auto"/>
                <w:bottom w:val="none" w:sz="0" w:space="0" w:color="auto"/>
                <w:right w:val="none" w:sz="0" w:space="0" w:color="auto"/>
              </w:divBdr>
              <w:divsChild>
                <w:div w:id="2139835182">
                  <w:marLeft w:val="0"/>
                  <w:marRight w:val="0"/>
                  <w:marTop w:val="0"/>
                  <w:marBottom w:val="0"/>
                  <w:divBdr>
                    <w:top w:val="none" w:sz="0" w:space="0" w:color="auto"/>
                    <w:left w:val="none" w:sz="0" w:space="0" w:color="auto"/>
                    <w:bottom w:val="none" w:sz="0" w:space="0" w:color="auto"/>
                    <w:right w:val="none" w:sz="0" w:space="0" w:color="auto"/>
                  </w:divBdr>
                  <w:divsChild>
                    <w:div w:id="867986775">
                      <w:marLeft w:val="0"/>
                      <w:marRight w:val="0"/>
                      <w:marTop w:val="0"/>
                      <w:marBottom w:val="0"/>
                      <w:divBdr>
                        <w:top w:val="none" w:sz="0" w:space="0" w:color="auto"/>
                        <w:left w:val="none" w:sz="0" w:space="0" w:color="auto"/>
                        <w:bottom w:val="none" w:sz="0" w:space="0" w:color="auto"/>
                        <w:right w:val="none" w:sz="0" w:space="0" w:color="auto"/>
                      </w:divBdr>
                      <w:divsChild>
                        <w:div w:id="2001731976">
                          <w:marLeft w:val="0"/>
                          <w:marRight w:val="0"/>
                          <w:marTop w:val="0"/>
                          <w:marBottom w:val="0"/>
                          <w:divBdr>
                            <w:top w:val="none" w:sz="0" w:space="0" w:color="auto"/>
                            <w:left w:val="none" w:sz="0" w:space="0" w:color="auto"/>
                            <w:bottom w:val="none" w:sz="0" w:space="0" w:color="auto"/>
                            <w:right w:val="none" w:sz="0" w:space="0" w:color="auto"/>
                          </w:divBdr>
                          <w:divsChild>
                            <w:div w:id="8610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60987">
                      <w:marLeft w:val="0"/>
                      <w:marRight w:val="0"/>
                      <w:marTop w:val="0"/>
                      <w:marBottom w:val="0"/>
                      <w:divBdr>
                        <w:top w:val="none" w:sz="0" w:space="0" w:color="auto"/>
                        <w:left w:val="none" w:sz="0" w:space="0" w:color="auto"/>
                        <w:bottom w:val="none" w:sz="0" w:space="0" w:color="auto"/>
                        <w:right w:val="none" w:sz="0" w:space="0" w:color="auto"/>
                      </w:divBdr>
                      <w:divsChild>
                        <w:div w:id="230509999">
                          <w:marLeft w:val="0"/>
                          <w:marRight w:val="0"/>
                          <w:marTop w:val="0"/>
                          <w:marBottom w:val="0"/>
                          <w:divBdr>
                            <w:top w:val="none" w:sz="0" w:space="0" w:color="auto"/>
                            <w:left w:val="none" w:sz="0" w:space="0" w:color="auto"/>
                            <w:bottom w:val="none" w:sz="0" w:space="0" w:color="auto"/>
                            <w:right w:val="none" w:sz="0" w:space="0" w:color="auto"/>
                          </w:divBdr>
                          <w:divsChild>
                            <w:div w:id="1042678844">
                              <w:marLeft w:val="0"/>
                              <w:marRight w:val="0"/>
                              <w:marTop w:val="0"/>
                              <w:marBottom w:val="0"/>
                              <w:divBdr>
                                <w:top w:val="none" w:sz="0" w:space="0" w:color="auto"/>
                                <w:left w:val="none" w:sz="0" w:space="0" w:color="auto"/>
                                <w:bottom w:val="none" w:sz="0" w:space="0" w:color="auto"/>
                                <w:right w:val="none" w:sz="0" w:space="0" w:color="auto"/>
                              </w:divBdr>
                              <w:divsChild>
                                <w:div w:id="11343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878610">
          <w:marLeft w:val="0"/>
          <w:marRight w:val="0"/>
          <w:marTop w:val="0"/>
          <w:marBottom w:val="0"/>
          <w:divBdr>
            <w:top w:val="none" w:sz="0" w:space="0" w:color="auto"/>
            <w:left w:val="none" w:sz="0" w:space="0" w:color="auto"/>
            <w:bottom w:val="none" w:sz="0" w:space="0" w:color="auto"/>
            <w:right w:val="none" w:sz="0" w:space="0" w:color="auto"/>
          </w:divBdr>
          <w:divsChild>
            <w:div w:id="2027173621">
              <w:marLeft w:val="0"/>
              <w:marRight w:val="0"/>
              <w:marTop w:val="0"/>
              <w:marBottom w:val="0"/>
              <w:divBdr>
                <w:top w:val="none" w:sz="0" w:space="0" w:color="auto"/>
                <w:left w:val="none" w:sz="0" w:space="0" w:color="auto"/>
                <w:bottom w:val="none" w:sz="0" w:space="0" w:color="auto"/>
                <w:right w:val="none" w:sz="0" w:space="0" w:color="auto"/>
              </w:divBdr>
              <w:divsChild>
                <w:div w:id="80228078">
                  <w:marLeft w:val="0"/>
                  <w:marRight w:val="0"/>
                  <w:marTop w:val="0"/>
                  <w:marBottom w:val="0"/>
                  <w:divBdr>
                    <w:top w:val="none" w:sz="0" w:space="0" w:color="auto"/>
                    <w:left w:val="none" w:sz="0" w:space="0" w:color="auto"/>
                    <w:bottom w:val="none" w:sz="0" w:space="0" w:color="auto"/>
                    <w:right w:val="none" w:sz="0" w:space="0" w:color="auto"/>
                  </w:divBdr>
                  <w:divsChild>
                    <w:div w:id="1593317992">
                      <w:marLeft w:val="0"/>
                      <w:marRight w:val="0"/>
                      <w:marTop w:val="0"/>
                      <w:marBottom w:val="0"/>
                      <w:divBdr>
                        <w:top w:val="none" w:sz="0" w:space="0" w:color="auto"/>
                        <w:left w:val="none" w:sz="0" w:space="0" w:color="auto"/>
                        <w:bottom w:val="none" w:sz="0" w:space="0" w:color="auto"/>
                        <w:right w:val="none" w:sz="0" w:space="0" w:color="auto"/>
                      </w:divBdr>
                      <w:divsChild>
                        <w:div w:id="2014186344">
                          <w:marLeft w:val="0"/>
                          <w:marRight w:val="0"/>
                          <w:marTop w:val="0"/>
                          <w:marBottom w:val="0"/>
                          <w:divBdr>
                            <w:top w:val="none" w:sz="0" w:space="0" w:color="auto"/>
                            <w:left w:val="none" w:sz="0" w:space="0" w:color="auto"/>
                            <w:bottom w:val="none" w:sz="0" w:space="0" w:color="auto"/>
                            <w:right w:val="none" w:sz="0" w:space="0" w:color="auto"/>
                          </w:divBdr>
                          <w:divsChild>
                            <w:div w:id="1330672227">
                              <w:marLeft w:val="0"/>
                              <w:marRight w:val="0"/>
                              <w:marTop w:val="0"/>
                              <w:marBottom w:val="0"/>
                              <w:divBdr>
                                <w:top w:val="none" w:sz="0" w:space="0" w:color="auto"/>
                                <w:left w:val="none" w:sz="0" w:space="0" w:color="auto"/>
                                <w:bottom w:val="none" w:sz="0" w:space="0" w:color="auto"/>
                                <w:right w:val="none" w:sz="0" w:space="0" w:color="auto"/>
                              </w:divBdr>
                            </w:div>
                          </w:divsChild>
                        </w:div>
                        <w:div w:id="1565795223">
                          <w:marLeft w:val="0"/>
                          <w:marRight w:val="0"/>
                          <w:marTop w:val="0"/>
                          <w:marBottom w:val="0"/>
                          <w:divBdr>
                            <w:top w:val="none" w:sz="0" w:space="0" w:color="auto"/>
                            <w:left w:val="none" w:sz="0" w:space="0" w:color="auto"/>
                            <w:bottom w:val="none" w:sz="0" w:space="0" w:color="auto"/>
                            <w:right w:val="none" w:sz="0" w:space="0" w:color="auto"/>
                          </w:divBdr>
                          <w:divsChild>
                            <w:div w:id="70086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75401">
          <w:marLeft w:val="0"/>
          <w:marRight w:val="0"/>
          <w:marTop w:val="0"/>
          <w:marBottom w:val="0"/>
          <w:divBdr>
            <w:top w:val="none" w:sz="0" w:space="0" w:color="auto"/>
            <w:left w:val="none" w:sz="0" w:space="0" w:color="auto"/>
            <w:bottom w:val="none" w:sz="0" w:space="0" w:color="auto"/>
            <w:right w:val="none" w:sz="0" w:space="0" w:color="auto"/>
          </w:divBdr>
          <w:divsChild>
            <w:div w:id="450171339">
              <w:marLeft w:val="0"/>
              <w:marRight w:val="0"/>
              <w:marTop w:val="0"/>
              <w:marBottom w:val="0"/>
              <w:divBdr>
                <w:top w:val="none" w:sz="0" w:space="0" w:color="auto"/>
                <w:left w:val="none" w:sz="0" w:space="0" w:color="auto"/>
                <w:bottom w:val="none" w:sz="0" w:space="0" w:color="auto"/>
                <w:right w:val="none" w:sz="0" w:space="0" w:color="auto"/>
              </w:divBdr>
              <w:divsChild>
                <w:div w:id="2003465682">
                  <w:marLeft w:val="0"/>
                  <w:marRight w:val="0"/>
                  <w:marTop w:val="0"/>
                  <w:marBottom w:val="0"/>
                  <w:divBdr>
                    <w:top w:val="none" w:sz="0" w:space="0" w:color="auto"/>
                    <w:left w:val="none" w:sz="0" w:space="0" w:color="auto"/>
                    <w:bottom w:val="none" w:sz="0" w:space="0" w:color="auto"/>
                    <w:right w:val="none" w:sz="0" w:space="0" w:color="auto"/>
                  </w:divBdr>
                  <w:divsChild>
                    <w:div w:id="877863875">
                      <w:marLeft w:val="0"/>
                      <w:marRight w:val="0"/>
                      <w:marTop w:val="0"/>
                      <w:marBottom w:val="0"/>
                      <w:divBdr>
                        <w:top w:val="none" w:sz="0" w:space="0" w:color="auto"/>
                        <w:left w:val="none" w:sz="0" w:space="0" w:color="auto"/>
                        <w:bottom w:val="none" w:sz="0" w:space="0" w:color="auto"/>
                        <w:right w:val="none" w:sz="0" w:space="0" w:color="auto"/>
                      </w:divBdr>
                      <w:divsChild>
                        <w:div w:id="1226989239">
                          <w:marLeft w:val="0"/>
                          <w:marRight w:val="0"/>
                          <w:marTop w:val="0"/>
                          <w:marBottom w:val="0"/>
                          <w:divBdr>
                            <w:top w:val="none" w:sz="0" w:space="0" w:color="auto"/>
                            <w:left w:val="none" w:sz="0" w:space="0" w:color="auto"/>
                            <w:bottom w:val="none" w:sz="0" w:space="0" w:color="auto"/>
                            <w:right w:val="none" w:sz="0" w:space="0" w:color="auto"/>
                          </w:divBdr>
                          <w:divsChild>
                            <w:div w:id="17609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543486">
      <w:bodyDiv w:val="1"/>
      <w:marLeft w:val="0"/>
      <w:marRight w:val="0"/>
      <w:marTop w:val="0"/>
      <w:marBottom w:val="0"/>
      <w:divBdr>
        <w:top w:val="none" w:sz="0" w:space="0" w:color="auto"/>
        <w:left w:val="none" w:sz="0" w:space="0" w:color="auto"/>
        <w:bottom w:val="none" w:sz="0" w:space="0" w:color="auto"/>
        <w:right w:val="none" w:sz="0" w:space="0" w:color="auto"/>
      </w:divBdr>
    </w:div>
    <w:div w:id="406726815">
      <w:bodyDiv w:val="1"/>
      <w:marLeft w:val="0"/>
      <w:marRight w:val="0"/>
      <w:marTop w:val="0"/>
      <w:marBottom w:val="0"/>
      <w:divBdr>
        <w:top w:val="none" w:sz="0" w:space="0" w:color="auto"/>
        <w:left w:val="none" w:sz="0" w:space="0" w:color="auto"/>
        <w:bottom w:val="none" w:sz="0" w:space="0" w:color="auto"/>
        <w:right w:val="none" w:sz="0" w:space="0" w:color="auto"/>
      </w:divBdr>
      <w:divsChild>
        <w:div w:id="914628367">
          <w:marLeft w:val="0"/>
          <w:marRight w:val="0"/>
          <w:marTop w:val="0"/>
          <w:marBottom w:val="0"/>
          <w:divBdr>
            <w:top w:val="none" w:sz="0" w:space="0" w:color="auto"/>
            <w:left w:val="none" w:sz="0" w:space="0" w:color="auto"/>
            <w:bottom w:val="none" w:sz="0" w:space="0" w:color="auto"/>
            <w:right w:val="none" w:sz="0" w:space="0" w:color="auto"/>
          </w:divBdr>
          <w:divsChild>
            <w:div w:id="235744150">
              <w:marLeft w:val="0"/>
              <w:marRight w:val="0"/>
              <w:marTop w:val="0"/>
              <w:marBottom w:val="0"/>
              <w:divBdr>
                <w:top w:val="none" w:sz="0" w:space="0" w:color="auto"/>
                <w:left w:val="none" w:sz="0" w:space="0" w:color="auto"/>
                <w:bottom w:val="none" w:sz="0" w:space="0" w:color="auto"/>
                <w:right w:val="none" w:sz="0" w:space="0" w:color="auto"/>
              </w:divBdr>
              <w:divsChild>
                <w:div w:id="1231115600">
                  <w:marLeft w:val="0"/>
                  <w:marRight w:val="0"/>
                  <w:marTop w:val="0"/>
                  <w:marBottom w:val="0"/>
                  <w:divBdr>
                    <w:top w:val="none" w:sz="0" w:space="0" w:color="auto"/>
                    <w:left w:val="none" w:sz="0" w:space="0" w:color="auto"/>
                    <w:bottom w:val="none" w:sz="0" w:space="0" w:color="auto"/>
                    <w:right w:val="none" w:sz="0" w:space="0" w:color="auto"/>
                  </w:divBdr>
                  <w:divsChild>
                    <w:div w:id="808746100">
                      <w:marLeft w:val="0"/>
                      <w:marRight w:val="0"/>
                      <w:marTop w:val="0"/>
                      <w:marBottom w:val="0"/>
                      <w:divBdr>
                        <w:top w:val="none" w:sz="0" w:space="0" w:color="auto"/>
                        <w:left w:val="none" w:sz="0" w:space="0" w:color="auto"/>
                        <w:bottom w:val="none" w:sz="0" w:space="0" w:color="auto"/>
                        <w:right w:val="none" w:sz="0" w:space="0" w:color="auto"/>
                      </w:divBdr>
                      <w:divsChild>
                        <w:div w:id="660432484">
                          <w:marLeft w:val="0"/>
                          <w:marRight w:val="0"/>
                          <w:marTop w:val="0"/>
                          <w:marBottom w:val="0"/>
                          <w:divBdr>
                            <w:top w:val="none" w:sz="0" w:space="0" w:color="auto"/>
                            <w:left w:val="none" w:sz="0" w:space="0" w:color="auto"/>
                            <w:bottom w:val="none" w:sz="0" w:space="0" w:color="auto"/>
                            <w:right w:val="none" w:sz="0" w:space="0" w:color="auto"/>
                          </w:divBdr>
                          <w:divsChild>
                            <w:div w:id="114022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6749">
                      <w:marLeft w:val="0"/>
                      <w:marRight w:val="0"/>
                      <w:marTop w:val="0"/>
                      <w:marBottom w:val="0"/>
                      <w:divBdr>
                        <w:top w:val="none" w:sz="0" w:space="0" w:color="auto"/>
                        <w:left w:val="none" w:sz="0" w:space="0" w:color="auto"/>
                        <w:bottom w:val="none" w:sz="0" w:space="0" w:color="auto"/>
                        <w:right w:val="none" w:sz="0" w:space="0" w:color="auto"/>
                      </w:divBdr>
                      <w:divsChild>
                        <w:div w:id="1404596716">
                          <w:marLeft w:val="0"/>
                          <w:marRight w:val="0"/>
                          <w:marTop w:val="0"/>
                          <w:marBottom w:val="0"/>
                          <w:divBdr>
                            <w:top w:val="none" w:sz="0" w:space="0" w:color="auto"/>
                            <w:left w:val="none" w:sz="0" w:space="0" w:color="auto"/>
                            <w:bottom w:val="none" w:sz="0" w:space="0" w:color="auto"/>
                            <w:right w:val="none" w:sz="0" w:space="0" w:color="auto"/>
                          </w:divBdr>
                          <w:divsChild>
                            <w:div w:id="1688945961">
                              <w:marLeft w:val="0"/>
                              <w:marRight w:val="0"/>
                              <w:marTop w:val="0"/>
                              <w:marBottom w:val="0"/>
                              <w:divBdr>
                                <w:top w:val="none" w:sz="0" w:space="0" w:color="auto"/>
                                <w:left w:val="none" w:sz="0" w:space="0" w:color="auto"/>
                                <w:bottom w:val="none" w:sz="0" w:space="0" w:color="auto"/>
                                <w:right w:val="none" w:sz="0" w:space="0" w:color="auto"/>
                              </w:divBdr>
                              <w:divsChild>
                                <w:div w:id="6511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925330">
          <w:marLeft w:val="0"/>
          <w:marRight w:val="0"/>
          <w:marTop w:val="0"/>
          <w:marBottom w:val="0"/>
          <w:divBdr>
            <w:top w:val="none" w:sz="0" w:space="0" w:color="auto"/>
            <w:left w:val="none" w:sz="0" w:space="0" w:color="auto"/>
            <w:bottom w:val="none" w:sz="0" w:space="0" w:color="auto"/>
            <w:right w:val="none" w:sz="0" w:space="0" w:color="auto"/>
          </w:divBdr>
          <w:divsChild>
            <w:div w:id="1760785318">
              <w:marLeft w:val="0"/>
              <w:marRight w:val="0"/>
              <w:marTop w:val="0"/>
              <w:marBottom w:val="0"/>
              <w:divBdr>
                <w:top w:val="none" w:sz="0" w:space="0" w:color="auto"/>
                <w:left w:val="none" w:sz="0" w:space="0" w:color="auto"/>
                <w:bottom w:val="none" w:sz="0" w:space="0" w:color="auto"/>
                <w:right w:val="none" w:sz="0" w:space="0" w:color="auto"/>
              </w:divBdr>
              <w:divsChild>
                <w:div w:id="991256288">
                  <w:marLeft w:val="0"/>
                  <w:marRight w:val="0"/>
                  <w:marTop w:val="0"/>
                  <w:marBottom w:val="0"/>
                  <w:divBdr>
                    <w:top w:val="none" w:sz="0" w:space="0" w:color="auto"/>
                    <w:left w:val="none" w:sz="0" w:space="0" w:color="auto"/>
                    <w:bottom w:val="none" w:sz="0" w:space="0" w:color="auto"/>
                    <w:right w:val="none" w:sz="0" w:space="0" w:color="auto"/>
                  </w:divBdr>
                  <w:divsChild>
                    <w:div w:id="1157455790">
                      <w:marLeft w:val="0"/>
                      <w:marRight w:val="0"/>
                      <w:marTop w:val="0"/>
                      <w:marBottom w:val="0"/>
                      <w:divBdr>
                        <w:top w:val="none" w:sz="0" w:space="0" w:color="auto"/>
                        <w:left w:val="none" w:sz="0" w:space="0" w:color="auto"/>
                        <w:bottom w:val="none" w:sz="0" w:space="0" w:color="auto"/>
                        <w:right w:val="none" w:sz="0" w:space="0" w:color="auto"/>
                      </w:divBdr>
                      <w:divsChild>
                        <w:div w:id="1541432432">
                          <w:marLeft w:val="0"/>
                          <w:marRight w:val="0"/>
                          <w:marTop w:val="0"/>
                          <w:marBottom w:val="0"/>
                          <w:divBdr>
                            <w:top w:val="none" w:sz="0" w:space="0" w:color="auto"/>
                            <w:left w:val="none" w:sz="0" w:space="0" w:color="auto"/>
                            <w:bottom w:val="none" w:sz="0" w:space="0" w:color="auto"/>
                            <w:right w:val="none" w:sz="0" w:space="0" w:color="auto"/>
                          </w:divBdr>
                          <w:divsChild>
                            <w:div w:id="178353823">
                              <w:marLeft w:val="0"/>
                              <w:marRight w:val="0"/>
                              <w:marTop w:val="0"/>
                              <w:marBottom w:val="0"/>
                              <w:divBdr>
                                <w:top w:val="none" w:sz="0" w:space="0" w:color="auto"/>
                                <w:left w:val="none" w:sz="0" w:space="0" w:color="auto"/>
                                <w:bottom w:val="none" w:sz="0" w:space="0" w:color="auto"/>
                                <w:right w:val="none" w:sz="0" w:space="0" w:color="auto"/>
                              </w:divBdr>
                            </w:div>
                          </w:divsChild>
                        </w:div>
                        <w:div w:id="2139295930">
                          <w:marLeft w:val="0"/>
                          <w:marRight w:val="0"/>
                          <w:marTop w:val="0"/>
                          <w:marBottom w:val="0"/>
                          <w:divBdr>
                            <w:top w:val="none" w:sz="0" w:space="0" w:color="auto"/>
                            <w:left w:val="none" w:sz="0" w:space="0" w:color="auto"/>
                            <w:bottom w:val="none" w:sz="0" w:space="0" w:color="auto"/>
                            <w:right w:val="none" w:sz="0" w:space="0" w:color="auto"/>
                          </w:divBdr>
                          <w:divsChild>
                            <w:div w:id="138864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314149">
          <w:marLeft w:val="0"/>
          <w:marRight w:val="0"/>
          <w:marTop w:val="0"/>
          <w:marBottom w:val="0"/>
          <w:divBdr>
            <w:top w:val="none" w:sz="0" w:space="0" w:color="auto"/>
            <w:left w:val="none" w:sz="0" w:space="0" w:color="auto"/>
            <w:bottom w:val="none" w:sz="0" w:space="0" w:color="auto"/>
            <w:right w:val="none" w:sz="0" w:space="0" w:color="auto"/>
          </w:divBdr>
          <w:divsChild>
            <w:div w:id="1212884485">
              <w:marLeft w:val="0"/>
              <w:marRight w:val="0"/>
              <w:marTop w:val="0"/>
              <w:marBottom w:val="0"/>
              <w:divBdr>
                <w:top w:val="none" w:sz="0" w:space="0" w:color="auto"/>
                <w:left w:val="none" w:sz="0" w:space="0" w:color="auto"/>
                <w:bottom w:val="none" w:sz="0" w:space="0" w:color="auto"/>
                <w:right w:val="none" w:sz="0" w:space="0" w:color="auto"/>
              </w:divBdr>
              <w:divsChild>
                <w:div w:id="1592163011">
                  <w:marLeft w:val="0"/>
                  <w:marRight w:val="0"/>
                  <w:marTop w:val="0"/>
                  <w:marBottom w:val="0"/>
                  <w:divBdr>
                    <w:top w:val="none" w:sz="0" w:space="0" w:color="auto"/>
                    <w:left w:val="none" w:sz="0" w:space="0" w:color="auto"/>
                    <w:bottom w:val="none" w:sz="0" w:space="0" w:color="auto"/>
                    <w:right w:val="none" w:sz="0" w:space="0" w:color="auto"/>
                  </w:divBdr>
                  <w:divsChild>
                    <w:div w:id="1846478204">
                      <w:marLeft w:val="0"/>
                      <w:marRight w:val="0"/>
                      <w:marTop w:val="0"/>
                      <w:marBottom w:val="0"/>
                      <w:divBdr>
                        <w:top w:val="none" w:sz="0" w:space="0" w:color="auto"/>
                        <w:left w:val="none" w:sz="0" w:space="0" w:color="auto"/>
                        <w:bottom w:val="none" w:sz="0" w:space="0" w:color="auto"/>
                        <w:right w:val="none" w:sz="0" w:space="0" w:color="auto"/>
                      </w:divBdr>
                      <w:divsChild>
                        <w:div w:id="78645722">
                          <w:marLeft w:val="0"/>
                          <w:marRight w:val="0"/>
                          <w:marTop w:val="0"/>
                          <w:marBottom w:val="0"/>
                          <w:divBdr>
                            <w:top w:val="none" w:sz="0" w:space="0" w:color="auto"/>
                            <w:left w:val="none" w:sz="0" w:space="0" w:color="auto"/>
                            <w:bottom w:val="none" w:sz="0" w:space="0" w:color="auto"/>
                            <w:right w:val="none" w:sz="0" w:space="0" w:color="auto"/>
                          </w:divBdr>
                          <w:divsChild>
                            <w:div w:id="19968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919">
                      <w:marLeft w:val="0"/>
                      <w:marRight w:val="0"/>
                      <w:marTop w:val="0"/>
                      <w:marBottom w:val="0"/>
                      <w:divBdr>
                        <w:top w:val="none" w:sz="0" w:space="0" w:color="auto"/>
                        <w:left w:val="none" w:sz="0" w:space="0" w:color="auto"/>
                        <w:bottom w:val="none" w:sz="0" w:space="0" w:color="auto"/>
                        <w:right w:val="none" w:sz="0" w:space="0" w:color="auto"/>
                      </w:divBdr>
                      <w:divsChild>
                        <w:div w:id="1413771589">
                          <w:marLeft w:val="0"/>
                          <w:marRight w:val="0"/>
                          <w:marTop w:val="0"/>
                          <w:marBottom w:val="0"/>
                          <w:divBdr>
                            <w:top w:val="none" w:sz="0" w:space="0" w:color="auto"/>
                            <w:left w:val="none" w:sz="0" w:space="0" w:color="auto"/>
                            <w:bottom w:val="none" w:sz="0" w:space="0" w:color="auto"/>
                            <w:right w:val="none" w:sz="0" w:space="0" w:color="auto"/>
                          </w:divBdr>
                          <w:divsChild>
                            <w:div w:id="619651316">
                              <w:marLeft w:val="0"/>
                              <w:marRight w:val="0"/>
                              <w:marTop w:val="0"/>
                              <w:marBottom w:val="0"/>
                              <w:divBdr>
                                <w:top w:val="none" w:sz="0" w:space="0" w:color="auto"/>
                                <w:left w:val="none" w:sz="0" w:space="0" w:color="auto"/>
                                <w:bottom w:val="none" w:sz="0" w:space="0" w:color="auto"/>
                                <w:right w:val="none" w:sz="0" w:space="0" w:color="auto"/>
                              </w:divBdr>
                              <w:divsChild>
                                <w:div w:id="159698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313906">
          <w:marLeft w:val="0"/>
          <w:marRight w:val="0"/>
          <w:marTop w:val="0"/>
          <w:marBottom w:val="0"/>
          <w:divBdr>
            <w:top w:val="none" w:sz="0" w:space="0" w:color="auto"/>
            <w:left w:val="none" w:sz="0" w:space="0" w:color="auto"/>
            <w:bottom w:val="none" w:sz="0" w:space="0" w:color="auto"/>
            <w:right w:val="none" w:sz="0" w:space="0" w:color="auto"/>
          </w:divBdr>
          <w:divsChild>
            <w:div w:id="1988244835">
              <w:marLeft w:val="0"/>
              <w:marRight w:val="0"/>
              <w:marTop w:val="0"/>
              <w:marBottom w:val="0"/>
              <w:divBdr>
                <w:top w:val="none" w:sz="0" w:space="0" w:color="auto"/>
                <w:left w:val="none" w:sz="0" w:space="0" w:color="auto"/>
                <w:bottom w:val="none" w:sz="0" w:space="0" w:color="auto"/>
                <w:right w:val="none" w:sz="0" w:space="0" w:color="auto"/>
              </w:divBdr>
              <w:divsChild>
                <w:div w:id="2060863526">
                  <w:marLeft w:val="0"/>
                  <w:marRight w:val="0"/>
                  <w:marTop w:val="0"/>
                  <w:marBottom w:val="0"/>
                  <w:divBdr>
                    <w:top w:val="none" w:sz="0" w:space="0" w:color="auto"/>
                    <w:left w:val="none" w:sz="0" w:space="0" w:color="auto"/>
                    <w:bottom w:val="none" w:sz="0" w:space="0" w:color="auto"/>
                    <w:right w:val="none" w:sz="0" w:space="0" w:color="auto"/>
                  </w:divBdr>
                  <w:divsChild>
                    <w:div w:id="1392269108">
                      <w:marLeft w:val="0"/>
                      <w:marRight w:val="0"/>
                      <w:marTop w:val="0"/>
                      <w:marBottom w:val="0"/>
                      <w:divBdr>
                        <w:top w:val="none" w:sz="0" w:space="0" w:color="auto"/>
                        <w:left w:val="none" w:sz="0" w:space="0" w:color="auto"/>
                        <w:bottom w:val="none" w:sz="0" w:space="0" w:color="auto"/>
                        <w:right w:val="none" w:sz="0" w:space="0" w:color="auto"/>
                      </w:divBdr>
                      <w:divsChild>
                        <w:div w:id="86580636">
                          <w:marLeft w:val="0"/>
                          <w:marRight w:val="0"/>
                          <w:marTop w:val="0"/>
                          <w:marBottom w:val="0"/>
                          <w:divBdr>
                            <w:top w:val="none" w:sz="0" w:space="0" w:color="auto"/>
                            <w:left w:val="none" w:sz="0" w:space="0" w:color="auto"/>
                            <w:bottom w:val="none" w:sz="0" w:space="0" w:color="auto"/>
                            <w:right w:val="none" w:sz="0" w:space="0" w:color="auto"/>
                          </w:divBdr>
                          <w:divsChild>
                            <w:div w:id="1102992316">
                              <w:marLeft w:val="0"/>
                              <w:marRight w:val="0"/>
                              <w:marTop w:val="0"/>
                              <w:marBottom w:val="0"/>
                              <w:divBdr>
                                <w:top w:val="none" w:sz="0" w:space="0" w:color="auto"/>
                                <w:left w:val="none" w:sz="0" w:space="0" w:color="auto"/>
                                <w:bottom w:val="none" w:sz="0" w:space="0" w:color="auto"/>
                                <w:right w:val="none" w:sz="0" w:space="0" w:color="auto"/>
                              </w:divBdr>
                            </w:div>
                          </w:divsChild>
                        </w:div>
                        <w:div w:id="896087746">
                          <w:marLeft w:val="0"/>
                          <w:marRight w:val="0"/>
                          <w:marTop w:val="0"/>
                          <w:marBottom w:val="0"/>
                          <w:divBdr>
                            <w:top w:val="none" w:sz="0" w:space="0" w:color="auto"/>
                            <w:left w:val="none" w:sz="0" w:space="0" w:color="auto"/>
                            <w:bottom w:val="none" w:sz="0" w:space="0" w:color="auto"/>
                            <w:right w:val="none" w:sz="0" w:space="0" w:color="auto"/>
                          </w:divBdr>
                          <w:divsChild>
                            <w:div w:id="181189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500739">
          <w:marLeft w:val="0"/>
          <w:marRight w:val="0"/>
          <w:marTop w:val="0"/>
          <w:marBottom w:val="0"/>
          <w:divBdr>
            <w:top w:val="none" w:sz="0" w:space="0" w:color="auto"/>
            <w:left w:val="none" w:sz="0" w:space="0" w:color="auto"/>
            <w:bottom w:val="none" w:sz="0" w:space="0" w:color="auto"/>
            <w:right w:val="none" w:sz="0" w:space="0" w:color="auto"/>
          </w:divBdr>
          <w:divsChild>
            <w:div w:id="115369906">
              <w:marLeft w:val="0"/>
              <w:marRight w:val="0"/>
              <w:marTop w:val="0"/>
              <w:marBottom w:val="0"/>
              <w:divBdr>
                <w:top w:val="none" w:sz="0" w:space="0" w:color="auto"/>
                <w:left w:val="none" w:sz="0" w:space="0" w:color="auto"/>
                <w:bottom w:val="none" w:sz="0" w:space="0" w:color="auto"/>
                <w:right w:val="none" w:sz="0" w:space="0" w:color="auto"/>
              </w:divBdr>
              <w:divsChild>
                <w:div w:id="589193159">
                  <w:marLeft w:val="0"/>
                  <w:marRight w:val="0"/>
                  <w:marTop w:val="0"/>
                  <w:marBottom w:val="0"/>
                  <w:divBdr>
                    <w:top w:val="none" w:sz="0" w:space="0" w:color="auto"/>
                    <w:left w:val="none" w:sz="0" w:space="0" w:color="auto"/>
                    <w:bottom w:val="none" w:sz="0" w:space="0" w:color="auto"/>
                    <w:right w:val="none" w:sz="0" w:space="0" w:color="auto"/>
                  </w:divBdr>
                  <w:divsChild>
                    <w:div w:id="615722618">
                      <w:marLeft w:val="0"/>
                      <w:marRight w:val="0"/>
                      <w:marTop w:val="0"/>
                      <w:marBottom w:val="0"/>
                      <w:divBdr>
                        <w:top w:val="none" w:sz="0" w:space="0" w:color="auto"/>
                        <w:left w:val="none" w:sz="0" w:space="0" w:color="auto"/>
                        <w:bottom w:val="none" w:sz="0" w:space="0" w:color="auto"/>
                        <w:right w:val="none" w:sz="0" w:space="0" w:color="auto"/>
                      </w:divBdr>
                      <w:divsChild>
                        <w:div w:id="1910919692">
                          <w:marLeft w:val="0"/>
                          <w:marRight w:val="0"/>
                          <w:marTop w:val="0"/>
                          <w:marBottom w:val="0"/>
                          <w:divBdr>
                            <w:top w:val="none" w:sz="0" w:space="0" w:color="auto"/>
                            <w:left w:val="none" w:sz="0" w:space="0" w:color="auto"/>
                            <w:bottom w:val="none" w:sz="0" w:space="0" w:color="auto"/>
                            <w:right w:val="none" w:sz="0" w:space="0" w:color="auto"/>
                          </w:divBdr>
                          <w:divsChild>
                            <w:div w:id="134095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45865">
      <w:bodyDiv w:val="1"/>
      <w:marLeft w:val="0"/>
      <w:marRight w:val="0"/>
      <w:marTop w:val="0"/>
      <w:marBottom w:val="0"/>
      <w:divBdr>
        <w:top w:val="none" w:sz="0" w:space="0" w:color="auto"/>
        <w:left w:val="none" w:sz="0" w:space="0" w:color="auto"/>
        <w:bottom w:val="none" w:sz="0" w:space="0" w:color="auto"/>
        <w:right w:val="none" w:sz="0" w:space="0" w:color="auto"/>
      </w:divBdr>
      <w:divsChild>
        <w:div w:id="180318467">
          <w:marLeft w:val="0"/>
          <w:marRight w:val="0"/>
          <w:marTop w:val="0"/>
          <w:marBottom w:val="0"/>
          <w:divBdr>
            <w:top w:val="none" w:sz="0" w:space="0" w:color="auto"/>
            <w:left w:val="none" w:sz="0" w:space="0" w:color="auto"/>
            <w:bottom w:val="none" w:sz="0" w:space="0" w:color="auto"/>
            <w:right w:val="none" w:sz="0" w:space="0" w:color="auto"/>
          </w:divBdr>
          <w:divsChild>
            <w:div w:id="1654218982">
              <w:marLeft w:val="0"/>
              <w:marRight w:val="0"/>
              <w:marTop w:val="0"/>
              <w:marBottom w:val="0"/>
              <w:divBdr>
                <w:top w:val="none" w:sz="0" w:space="0" w:color="auto"/>
                <w:left w:val="none" w:sz="0" w:space="0" w:color="auto"/>
                <w:bottom w:val="none" w:sz="0" w:space="0" w:color="auto"/>
                <w:right w:val="none" w:sz="0" w:space="0" w:color="auto"/>
              </w:divBdr>
              <w:divsChild>
                <w:div w:id="2026323488">
                  <w:marLeft w:val="0"/>
                  <w:marRight w:val="0"/>
                  <w:marTop w:val="0"/>
                  <w:marBottom w:val="0"/>
                  <w:divBdr>
                    <w:top w:val="none" w:sz="0" w:space="0" w:color="auto"/>
                    <w:left w:val="none" w:sz="0" w:space="0" w:color="auto"/>
                    <w:bottom w:val="none" w:sz="0" w:space="0" w:color="auto"/>
                    <w:right w:val="none" w:sz="0" w:space="0" w:color="auto"/>
                  </w:divBdr>
                  <w:divsChild>
                    <w:div w:id="545915672">
                      <w:marLeft w:val="0"/>
                      <w:marRight w:val="0"/>
                      <w:marTop w:val="0"/>
                      <w:marBottom w:val="0"/>
                      <w:divBdr>
                        <w:top w:val="none" w:sz="0" w:space="0" w:color="auto"/>
                        <w:left w:val="none" w:sz="0" w:space="0" w:color="auto"/>
                        <w:bottom w:val="none" w:sz="0" w:space="0" w:color="auto"/>
                        <w:right w:val="none" w:sz="0" w:space="0" w:color="auto"/>
                      </w:divBdr>
                      <w:divsChild>
                        <w:div w:id="1305113198">
                          <w:marLeft w:val="0"/>
                          <w:marRight w:val="0"/>
                          <w:marTop w:val="0"/>
                          <w:marBottom w:val="0"/>
                          <w:divBdr>
                            <w:top w:val="none" w:sz="0" w:space="0" w:color="auto"/>
                            <w:left w:val="none" w:sz="0" w:space="0" w:color="auto"/>
                            <w:bottom w:val="none" w:sz="0" w:space="0" w:color="auto"/>
                            <w:right w:val="none" w:sz="0" w:space="0" w:color="auto"/>
                          </w:divBdr>
                          <w:divsChild>
                            <w:div w:id="8435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4704">
                      <w:marLeft w:val="0"/>
                      <w:marRight w:val="0"/>
                      <w:marTop w:val="0"/>
                      <w:marBottom w:val="0"/>
                      <w:divBdr>
                        <w:top w:val="none" w:sz="0" w:space="0" w:color="auto"/>
                        <w:left w:val="none" w:sz="0" w:space="0" w:color="auto"/>
                        <w:bottom w:val="none" w:sz="0" w:space="0" w:color="auto"/>
                        <w:right w:val="none" w:sz="0" w:space="0" w:color="auto"/>
                      </w:divBdr>
                      <w:divsChild>
                        <w:div w:id="2128228938">
                          <w:marLeft w:val="0"/>
                          <w:marRight w:val="0"/>
                          <w:marTop w:val="0"/>
                          <w:marBottom w:val="0"/>
                          <w:divBdr>
                            <w:top w:val="none" w:sz="0" w:space="0" w:color="auto"/>
                            <w:left w:val="none" w:sz="0" w:space="0" w:color="auto"/>
                            <w:bottom w:val="none" w:sz="0" w:space="0" w:color="auto"/>
                            <w:right w:val="none" w:sz="0" w:space="0" w:color="auto"/>
                          </w:divBdr>
                          <w:divsChild>
                            <w:div w:id="170024279">
                              <w:marLeft w:val="0"/>
                              <w:marRight w:val="0"/>
                              <w:marTop w:val="0"/>
                              <w:marBottom w:val="0"/>
                              <w:divBdr>
                                <w:top w:val="none" w:sz="0" w:space="0" w:color="auto"/>
                                <w:left w:val="none" w:sz="0" w:space="0" w:color="auto"/>
                                <w:bottom w:val="none" w:sz="0" w:space="0" w:color="auto"/>
                                <w:right w:val="none" w:sz="0" w:space="0" w:color="auto"/>
                              </w:divBdr>
                              <w:divsChild>
                                <w:div w:id="73262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055605">
          <w:marLeft w:val="0"/>
          <w:marRight w:val="0"/>
          <w:marTop w:val="0"/>
          <w:marBottom w:val="0"/>
          <w:divBdr>
            <w:top w:val="none" w:sz="0" w:space="0" w:color="auto"/>
            <w:left w:val="none" w:sz="0" w:space="0" w:color="auto"/>
            <w:bottom w:val="none" w:sz="0" w:space="0" w:color="auto"/>
            <w:right w:val="none" w:sz="0" w:space="0" w:color="auto"/>
          </w:divBdr>
          <w:divsChild>
            <w:div w:id="803893157">
              <w:marLeft w:val="0"/>
              <w:marRight w:val="0"/>
              <w:marTop w:val="0"/>
              <w:marBottom w:val="0"/>
              <w:divBdr>
                <w:top w:val="none" w:sz="0" w:space="0" w:color="auto"/>
                <w:left w:val="none" w:sz="0" w:space="0" w:color="auto"/>
                <w:bottom w:val="none" w:sz="0" w:space="0" w:color="auto"/>
                <w:right w:val="none" w:sz="0" w:space="0" w:color="auto"/>
              </w:divBdr>
              <w:divsChild>
                <w:div w:id="1682243815">
                  <w:marLeft w:val="0"/>
                  <w:marRight w:val="0"/>
                  <w:marTop w:val="0"/>
                  <w:marBottom w:val="0"/>
                  <w:divBdr>
                    <w:top w:val="none" w:sz="0" w:space="0" w:color="auto"/>
                    <w:left w:val="none" w:sz="0" w:space="0" w:color="auto"/>
                    <w:bottom w:val="none" w:sz="0" w:space="0" w:color="auto"/>
                    <w:right w:val="none" w:sz="0" w:space="0" w:color="auto"/>
                  </w:divBdr>
                  <w:divsChild>
                    <w:div w:id="80878773">
                      <w:marLeft w:val="0"/>
                      <w:marRight w:val="0"/>
                      <w:marTop w:val="0"/>
                      <w:marBottom w:val="0"/>
                      <w:divBdr>
                        <w:top w:val="none" w:sz="0" w:space="0" w:color="auto"/>
                        <w:left w:val="none" w:sz="0" w:space="0" w:color="auto"/>
                        <w:bottom w:val="none" w:sz="0" w:space="0" w:color="auto"/>
                        <w:right w:val="none" w:sz="0" w:space="0" w:color="auto"/>
                      </w:divBdr>
                      <w:divsChild>
                        <w:div w:id="2067295285">
                          <w:marLeft w:val="0"/>
                          <w:marRight w:val="0"/>
                          <w:marTop w:val="0"/>
                          <w:marBottom w:val="0"/>
                          <w:divBdr>
                            <w:top w:val="none" w:sz="0" w:space="0" w:color="auto"/>
                            <w:left w:val="none" w:sz="0" w:space="0" w:color="auto"/>
                            <w:bottom w:val="none" w:sz="0" w:space="0" w:color="auto"/>
                            <w:right w:val="none" w:sz="0" w:space="0" w:color="auto"/>
                          </w:divBdr>
                          <w:divsChild>
                            <w:div w:id="800345503">
                              <w:marLeft w:val="0"/>
                              <w:marRight w:val="0"/>
                              <w:marTop w:val="0"/>
                              <w:marBottom w:val="0"/>
                              <w:divBdr>
                                <w:top w:val="none" w:sz="0" w:space="0" w:color="auto"/>
                                <w:left w:val="none" w:sz="0" w:space="0" w:color="auto"/>
                                <w:bottom w:val="none" w:sz="0" w:space="0" w:color="auto"/>
                                <w:right w:val="none" w:sz="0" w:space="0" w:color="auto"/>
                              </w:divBdr>
                            </w:div>
                          </w:divsChild>
                        </w:div>
                        <w:div w:id="1665626997">
                          <w:marLeft w:val="0"/>
                          <w:marRight w:val="0"/>
                          <w:marTop w:val="0"/>
                          <w:marBottom w:val="0"/>
                          <w:divBdr>
                            <w:top w:val="none" w:sz="0" w:space="0" w:color="auto"/>
                            <w:left w:val="none" w:sz="0" w:space="0" w:color="auto"/>
                            <w:bottom w:val="none" w:sz="0" w:space="0" w:color="auto"/>
                            <w:right w:val="none" w:sz="0" w:space="0" w:color="auto"/>
                          </w:divBdr>
                          <w:divsChild>
                            <w:div w:id="151040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444534">
          <w:marLeft w:val="0"/>
          <w:marRight w:val="0"/>
          <w:marTop w:val="0"/>
          <w:marBottom w:val="0"/>
          <w:divBdr>
            <w:top w:val="none" w:sz="0" w:space="0" w:color="auto"/>
            <w:left w:val="none" w:sz="0" w:space="0" w:color="auto"/>
            <w:bottom w:val="none" w:sz="0" w:space="0" w:color="auto"/>
            <w:right w:val="none" w:sz="0" w:space="0" w:color="auto"/>
          </w:divBdr>
          <w:divsChild>
            <w:div w:id="795371417">
              <w:marLeft w:val="0"/>
              <w:marRight w:val="0"/>
              <w:marTop w:val="0"/>
              <w:marBottom w:val="0"/>
              <w:divBdr>
                <w:top w:val="none" w:sz="0" w:space="0" w:color="auto"/>
                <w:left w:val="none" w:sz="0" w:space="0" w:color="auto"/>
                <w:bottom w:val="none" w:sz="0" w:space="0" w:color="auto"/>
                <w:right w:val="none" w:sz="0" w:space="0" w:color="auto"/>
              </w:divBdr>
              <w:divsChild>
                <w:div w:id="1551527721">
                  <w:marLeft w:val="0"/>
                  <w:marRight w:val="0"/>
                  <w:marTop w:val="0"/>
                  <w:marBottom w:val="0"/>
                  <w:divBdr>
                    <w:top w:val="none" w:sz="0" w:space="0" w:color="auto"/>
                    <w:left w:val="none" w:sz="0" w:space="0" w:color="auto"/>
                    <w:bottom w:val="none" w:sz="0" w:space="0" w:color="auto"/>
                    <w:right w:val="none" w:sz="0" w:space="0" w:color="auto"/>
                  </w:divBdr>
                  <w:divsChild>
                    <w:div w:id="973146081">
                      <w:marLeft w:val="0"/>
                      <w:marRight w:val="0"/>
                      <w:marTop w:val="0"/>
                      <w:marBottom w:val="0"/>
                      <w:divBdr>
                        <w:top w:val="none" w:sz="0" w:space="0" w:color="auto"/>
                        <w:left w:val="none" w:sz="0" w:space="0" w:color="auto"/>
                        <w:bottom w:val="none" w:sz="0" w:space="0" w:color="auto"/>
                        <w:right w:val="none" w:sz="0" w:space="0" w:color="auto"/>
                      </w:divBdr>
                      <w:divsChild>
                        <w:div w:id="235437109">
                          <w:marLeft w:val="0"/>
                          <w:marRight w:val="0"/>
                          <w:marTop w:val="0"/>
                          <w:marBottom w:val="0"/>
                          <w:divBdr>
                            <w:top w:val="none" w:sz="0" w:space="0" w:color="auto"/>
                            <w:left w:val="none" w:sz="0" w:space="0" w:color="auto"/>
                            <w:bottom w:val="none" w:sz="0" w:space="0" w:color="auto"/>
                            <w:right w:val="none" w:sz="0" w:space="0" w:color="auto"/>
                          </w:divBdr>
                          <w:divsChild>
                            <w:div w:id="8679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643324">
      <w:bodyDiv w:val="1"/>
      <w:marLeft w:val="0"/>
      <w:marRight w:val="0"/>
      <w:marTop w:val="0"/>
      <w:marBottom w:val="0"/>
      <w:divBdr>
        <w:top w:val="none" w:sz="0" w:space="0" w:color="auto"/>
        <w:left w:val="none" w:sz="0" w:space="0" w:color="auto"/>
        <w:bottom w:val="none" w:sz="0" w:space="0" w:color="auto"/>
        <w:right w:val="none" w:sz="0" w:space="0" w:color="auto"/>
      </w:divBdr>
      <w:divsChild>
        <w:div w:id="1552040608">
          <w:marLeft w:val="0"/>
          <w:marRight w:val="0"/>
          <w:marTop w:val="0"/>
          <w:marBottom w:val="0"/>
          <w:divBdr>
            <w:top w:val="none" w:sz="0" w:space="0" w:color="auto"/>
            <w:left w:val="none" w:sz="0" w:space="0" w:color="auto"/>
            <w:bottom w:val="none" w:sz="0" w:space="0" w:color="auto"/>
            <w:right w:val="none" w:sz="0" w:space="0" w:color="auto"/>
          </w:divBdr>
          <w:divsChild>
            <w:div w:id="1793554903">
              <w:marLeft w:val="0"/>
              <w:marRight w:val="0"/>
              <w:marTop w:val="0"/>
              <w:marBottom w:val="0"/>
              <w:divBdr>
                <w:top w:val="none" w:sz="0" w:space="0" w:color="auto"/>
                <w:left w:val="none" w:sz="0" w:space="0" w:color="auto"/>
                <w:bottom w:val="none" w:sz="0" w:space="0" w:color="auto"/>
                <w:right w:val="none" w:sz="0" w:space="0" w:color="auto"/>
              </w:divBdr>
              <w:divsChild>
                <w:div w:id="495072482">
                  <w:marLeft w:val="0"/>
                  <w:marRight w:val="0"/>
                  <w:marTop w:val="0"/>
                  <w:marBottom w:val="0"/>
                  <w:divBdr>
                    <w:top w:val="none" w:sz="0" w:space="0" w:color="auto"/>
                    <w:left w:val="none" w:sz="0" w:space="0" w:color="auto"/>
                    <w:bottom w:val="none" w:sz="0" w:space="0" w:color="auto"/>
                    <w:right w:val="none" w:sz="0" w:space="0" w:color="auto"/>
                  </w:divBdr>
                  <w:divsChild>
                    <w:div w:id="2136365231">
                      <w:marLeft w:val="0"/>
                      <w:marRight w:val="0"/>
                      <w:marTop w:val="0"/>
                      <w:marBottom w:val="0"/>
                      <w:divBdr>
                        <w:top w:val="none" w:sz="0" w:space="0" w:color="auto"/>
                        <w:left w:val="none" w:sz="0" w:space="0" w:color="auto"/>
                        <w:bottom w:val="none" w:sz="0" w:space="0" w:color="auto"/>
                        <w:right w:val="none" w:sz="0" w:space="0" w:color="auto"/>
                      </w:divBdr>
                      <w:divsChild>
                        <w:div w:id="182743361">
                          <w:marLeft w:val="0"/>
                          <w:marRight w:val="0"/>
                          <w:marTop w:val="0"/>
                          <w:marBottom w:val="0"/>
                          <w:divBdr>
                            <w:top w:val="none" w:sz="0" w:space="0" w:color="auto"/>
                            <w:left w:val="none" w:sz="0" w:space="0" w:color="auto"/>
                            <w:bottom w:val="none" w:sz="0" w:space="0" w:color="auto"/>
                            <w:right w:val="none" w:sz="0" w:space="0" w:color="auto"/>
                          </w:divBdr>
                          <w:divsChild>
                            <w:div w:id="20134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97773">
                      <w:marLeft w:val="0"/>
                      <w:marRight w:val="0"/>
                      <w:marTop w:val="0"/>
                      <w:marBottom w:val="0"/>
                      <w:divBdr>
                        <w:top w:val="none" w:sz="0" w:space="0" w:color="auto"/>
                        <w:left w:val="none" w:sz="0" w:space="0" w:color="auto"/>
                        <w:bottom w:val="none" w:sz="0" w:space="0" w:color="auto"/>
                        <w:right w:val="none" w:sz="0" w:space="0" w:color="auto"/>
                      </w:divBdr>
                      <w:divsChild>
                        <w:div w:id="903414574">
                          <w:marLeft w:val="0"/>
                          <w:marRight w:val="0"/>
                          <w:marTop w:val="0"/>
                          <w:marBottom w:val="0"/>
                          <w:divBdr>
                            <w:top w:val="none" w:sz="0" w:space="0" w:color="auto"/>
                            <w:left w:val="none" w:sz="0" w:space="0" w:color="auto"/>
                            <w:bottom w:val="none" w:sz="0" w:space="0" w:color="auto"/>
                            <w:right w:val="none" w:sz="0" w:space="0" w:color="auto"/>
                          </w:divBdr>
                          <w:divsChild>
                            <w:div w:id="764181737">
                              <w:marLeft w:val="0"/>
                              <w:marRight w:val="0"/>
                              <w:marTop w:val="0"/>
                              <w:marBottom w:val="0"/>
                              <w:divBdr>
                                <w:top w:val="none" w:sz="0" w:space="0" w:color="auto"/>
                                <w:left w:val="none" w:sz="0" w:space="0" w:color="auto"/>
                                <w:bottom w:val="none" w:sz="0" w:space="0" w:color="auto"/>
                                <w:right w:val="none" w:sz="0" w:space="0" w:color="auto"/>
                              </w:divBdr>
                              <w:divsChild>
                                <w:div w:id="152995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522147">
          <w:marLeft w:val="0"/>
          <w:marRight w:val="0"/>
          <w:marTop w:val="0"/>
          <w:marBottom w:val="0"/>
          <w:divBdr>
            <w:top w:val="none" w:sz="0" w:space="0" w:color="auto"/>
            <w:left w:val="none" w:sz="0" w:space="0" w:color="auto"/>
            <w:bottom w:val="none" w:sz="0" w:space="0" w:color="auto"/>
            <w:right w:val="none" w:sz="0" w:space="0" w:color="auto"/>
          </w:divBdr>
          <w:divsChild>
            <w:div w:id="1067924928">
              <w:marLeft w:val="0"/>
              <w:marRight w:val="0"/>
              <w:marTop w:val="0"/>
              <w:marBottom w:val="0"/>
              <w:divBdr>
                <w:top w:val="none" w:sz="0" w:space="0" w:color="auto"/>
                <w:left w:val="none" w:sz="0" w:space="0" w:color="auto"/>
                <w:bottom w:val="none" w:sz="0" w:space="0" w:color="auto"/>
                <w:right w:val="none" w:sz="0" w:space="0" w:color="auto"/>
              </w:divBdr>
              <w:divsChild>
                <w:div w:id="1721124510">
                  <w:marLeft w:val="0"/>
                  <w:marRight w:val="0"/>
                  <w:marTop w:val="0"/>
                  <w:marBottom w:val="0"/>
                  <w:divBdr>
                    <w:top w:val="none" w:sz="0" w:space="0" w:color="auto"/>
                    <w:left w:val="none" w:sz="0" w:space="0" w:color="auto"/>
                    <w:bottom w:val="none" w:sz="0" w:space="0" w:color="auto"/>
                    <w:right w:val="none" w:sz="0" w:space="0" w:color="auto"/>
                  </w:divBdr>
                  <w:divsChild>
                    <w:div w:id="1327857642">
                      <w:marLeft w:val="0"/>
                      <w:marRight w:val="0"/>
                      <w:marTop w:val="0"/>
                      <w:marBottom w:val="0"/>
                      <w:divBdr>
                        <w:top w:val="none" w:sz="0" w:space="0" w:color="auto"/>
                        <w:left w:val="none" w:sz="0" w:space="0" w:color="auto"/>
                        <w:bottom w:val="none" w:sz="0" w:space="0" w:color="auto"/>
                        <w:right w:val="none" w:sz="0" w:space="0" w:color="auto"/>
                      </w:divBdr>
                      <w:divsChild>
                        <w:div w:id="501625668">
                          <w:marLeft w:val="0"/>
                          <w:marRight w:val="0"/>
                          <w:marTop w:val="0"/>
                          <w:marBottom w:val="0"/>
                          <w:divBdr>
                            <w:top w:val="none" w:sz="0" w:space="0" w:color="auto"/>
                            <w:left w:val="none" w:sz="0" w:space="0" w:color="auto"/>
                            <w:bottom w:val="none" w:sz="0" w:space="0" w:color="auto"/>
                            <w:right w:val="none" w:sz="0" w:space="0" w:color="auto"/>
                          </w:divBdr>
                          <w:divsChild>
                            <w:div w:id="436407251">
                              <w:marLeft w:val="0"/>
                              <w:marRight w:val="0"/>
                              <w:marTop w:val="0"/>
                              <w:marBottom w:val="0"/>
                              <w:divBdr>
                                <w:top w:val="none" w:sz="0" w:space="0" w:color="auto"/>
                                <w:left w:val="none" w:sz="0" w:space="0" w:color="auto"/>
                                <w:bottom w:val="none" w:sz="0" w:space="0" w:color="auto"/>
                                <w:right w:val="none" w:sz="0" w:space="0" w:color="auto"/>
                              </w:divBdr>
                            </w:div>
                          </w:divsChild>
                        </w:div>
                        <w:div w:id="1639919858">
                          <w:marLeft w:val="0"/>
                          <w:marRight w:val="0"/>
                          <w:marTop w:val="0"/>
                          <w:marBottom w:val="0"/>
                          <w:divBdr>
                            <w:top w:val="none" w:sz="0" w:space="0" w:color="auto"/>
                            <w:left w:val="none" w:sz="0" w:space="0" w:color="auto"/>
                            <w:bottom w:val="none" w:sz="0" w:space="0" w:color="auto"/>
                            <w:right w:val="none" w:sz="0" w:space="0" w:color="auto"/>
                          </w:divBdr>
                          <w:divsChild>
                            <w:div w:id="15191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074261">
          <w:marLeft w:val="0"/>
          <w:marRight w:val="0"/>
          <w:marTop w:val="0"/>
          <w:marBottom w:val="0"/>
          <w:divBdr>
            <w:top w:val="none" w:sz="0" w:space="0" w:color="auto"/>
            <w:left w:val="none" w:sz="0" w:space="0" w:color="auto"/>
            <w:bottom w:val="none" w:sz="0" w:space="0" w:color="auto"/>
            <w:right w:val="none" w:sz="0" w:space="0" w:color="auto"/>
          </w:divBdr>
          <w:divsChild>
            <w:div w:id="85731238">
              <w:marLeft w:val="0"/>
              <w:marRight w:val="0"/>
              <w:marTop w:val="0"/>
              <w:marBottom w:val="0"/>
              <w:divBdr>
                <w:top w:val="none" w:sz="0" w:space="0" w:color="auto"/>
                <w:left w:val="none" w:sz="0" w:space="0" w:color="auto"/>
                <w:bottom w:val="none" w:sz="0" w:space="0" w:color="auto"/>
                <w:right w:val="none" w:sz="0" w:space="0" w:color="auto"/>
              </w:divBdr>
              <w:divsChild>
                <w:div w:id="1858349352">
                  <w:marLeft w:val="0"/>
                  <w:marRight w:val="0"/>
                  <w:marTop w:val="0"/>
                  <w:marBottom w:val="0"/>
                  <w:divBdr>
                    <w:top w:val="none" w:sz="0" w:space="0" w:color="auto"/>
                    <w:left w:val="none" w:sz="0" w:space="0" w:color="auto"/>
                    <w:bottom w:val="none" w:sz="0" w:space="0" w:color="auto"/>
                    <w:right w:val="none" w:sz="0" w:space="0" w:color="auto"/>
                  </w:divBdr>
                  <w:divsChild>
                    <w:div w:id="112678090">
                      <w:marLeft w:val="0"/>
                      <w:marRight w:val="0"/>
                      <w:marTop w:val="0"/>
                      <w:marBottom w:val="0"/>
                      <w:divBdr>
                        <w:top w:val="none" w:sz="0" w:space="0" w:color="auto"/>
                        <w:left w:val="none" w:sz="0" w:space="0" w:color="auto"/>
                        <w:bottom w:val="none" w:sz="0" w:space="0" w:color="auto"/>
                        <w:right w:val="none" w:sz="0" w:space="0" w:color="auto"/>
                      </w:divBdr>
                      <w:divsChild>
                        <w:div w:id="574625460">
                          <w:marLeft w:val="0"/>
                          <w:marRight w:val="0"/>
                          <w:marTop w:val="0"/>
                          <w:marBottom w:val="0"/>
                          <w:divBdr>
                            <w:top w:val="none" w:sz="0" w:space="0" w:color="auto"/>
                            <w:left w:val="none" w:sz="0" w:space="0" w:color="auto"/>
                            <w:bottom w:val="none" w:sz="0" w:space="0" w:color="auto"/>
                            <w:right w:val="none" w:sz="0" w:space="0" w:color="auto"/>
                          </w:divBdr>
                          <w:divsChild>
                            <w:div w:id="6412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651639">
      <w:bodyDiv w:val="1"/>
      <w:marLeft w:val="0"/>
      <w:marRight w:val="0"/>
      <w:marTop w:val="0"/>
      <w:marBottom w:val="0"/>
      <w:divBdr>
        <w:top w:val="none" w:sz="0" w:space="0" w:color="auto"/>
        <w:left w:val="none" w:sz="0" w:space="0" w:color="auto"/>
        <w:bottom w:val="none" w:sz="0" w:space="0" w:color="auto"/>
        <w:right w:val="none" w:sz="0" w:space="0" w:color="auto"/>
      </w:divBdr>
      <w:divsChild>
        <w:div w:id="382952166">
          <w:marLeft w:val="0"/>
          <w:marRight w:val="0"/>
          <w:marTop w:val="0"/>
          <w:marBottom w:val="0"/>
          <w:divBdr>
            <w:top w:val="none" w:sz="0" w:space="0" w:color="auto"/>
            <w:left w:val="none" w:sz="0" w:space="0" w:color="auto"/>
            <w:bottom w:val="none" w:sz="0" w:space="0" w:color="auto"/>
            <w:right w:val="none" w:sz="0" w:space="0" w:color="auto"/>
          </w:divBdr>
          <w:divsChild>
            <w:div w:id="493106127">
              <w:marLeft w:val="0"/>
              <w:marRight w:val="0"/>
              <w:marTop w:val="0"/>
              <w:marBottom w:val="0"/>
              <w:divBdr>
                <w:top w:val="none" w:sz="0" w:space="0" w:color="auto"/>
                <w:left w:val="none" w:sz="0" w:space="0" w:color="auto"/>
                <w:bottom w:val="none" w:sz="0" w:space="0" w:color="auto"/>
                <w:right w:val="none" w:sz="0" w:space="0" w:color="auto"/>
              </w:divBdr>
              <w:divsChild>
                <w:div w:id="1872188729">
                  <w:marLeft w:val="0"/>
                  <w:marRight w:val="0"/>
                  <w:marTop w:val="0"/>
                  <w:marBottom w:val="0"/>
                  <w:divBdr>
                    <w:top w:val="none" w:sz="0" w:space="0" w:color="auto"/>
                    <w:left w:val="none" w:sz="0" w:space="0" w:color="auto"/>
                    <w:bottom w:val="none" w:sz="0" w:space="0" w:color="auto"/>
                    <w:right w:val="none" w:sz="0" w:space="0" w:color="auto"/>
                  </w:divBdr>
                  <w:divsChild>
                    <w:div w:id="45106168">
                      <w:marLeft w:val="0"/>
                      <w:marRight w:val="0"/>
                      <w:marTop w:val="0"/>
                      <w:marBottom w:val="0"/>
                      <w:divBdr>
                        <w:top w:val="none" w:sz="0" w:space="0" w:color="auto"/>
                        <w:left w:val="none" w:sz="0" w:space="0" w:color="auto"/>
                        <w:bottom w:val="none" w:sz="0" w:space="0" w:color="auto"/>
                        <w:right w:val="none" w:sz="0" w:space="0" w:color="auto"/>
                      </w:divBdr>
                      <w:divsChild>
                        <w:div w:id="355232165">
                          <w:marLeft w:val="0"/>
                          <w:marRight w:val="0"/>
                          <w:marTop w:val="0"/>
                          <w:marBottom w:val="0"/>
                          <w:divBdr>
                            <w:top w:val="none" w:sz="0" w:space="0" w:color="auto"/>
                            <w:left w:val="none" w:sz="0" w:space="0" w:color="auto"/>
                            <w:bottom w:val="none" w:sz="0" w:space="0" w:color="auto"/>
                            <w:right w:val="none" w:sz="0" w:space="0" w:color="auto"/>
                          </w:divBdr>
                          <w:divsChild>
                            <w:div w:id="19967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44685">
                      <w:marLeft w:val="0"/>
                      <w:marRight w:val="0"/>
                      <w:marTop w:val="0"/>
                      <w:marBottom w:val="0"/>
                      <w:divBdr>
                        <w:top w:val="none" w:sz="0" w:space="0" w:color="auto"/>
                        <w:left w:val="none" w:sz="0" w:space="0" w:color="auto"/>
                        <w:bottom w:val="none" w:sz="0" w:space="0" w:color="auto"/>
                        <w:right w:val="none" w:sz="0" w:space="0" w:color="auto"/>
                      </w:divBdr>
                      <w:divsChild>
                        <w:div w:id="1755660758">
                          <w:marLeft w:val="0"/>
                          <w:marRight w:val="0"/>
                          <w:marTop w:val="0"/>
                          <w:marBottom w:val="0"/>
                          <w:divBdr>
                            <w:top w:val="none" w:sz="0" w:space="0" w:color="auto"/>
                            <w:left w:val="none" w:sz="0" w:space="0" w:color="auto"/>
                            <w:bottom w:val="none" w:sz="0" w:space="0" w:color="auto"/>
                            <w:right w:val="none" w:sz="0" w:space="0" w:color="auto"/>
                          </w:divBdr>
                          <w:divsChild>
                            <w:div w:id="1037509977">
                              <w:marLeft w:val="0"/>
                              <w:marRight w:val="0"/>
                              <w:marTop w:val="0"/>
                              <w:marBottom w:val="0"/>
                              <w:divBdr>
                                <w:top w:val="none" w:sz="0" w:space="0" w:color="auto"/>
                                <w:left w:val="none" w:sz="0" w:space="0" w:color="auto"/>
                                <w:bottom w:val="none" w:sz="0" w:space="0" w:color="auto"/>
                                <w:right w:val="none" w:sz="0" w:space="0" w:color="auto"/>
                              </w:divBdr>
                              <w:divsChild>
                                <w:div w:id="71238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321164">
          <w:marLeft w:val="0"/>
          <w:marRight w:val="0"/>
          <w:marTop w:val="0"/>
          <w:marBottom w:val="0"/>
          <w:divBdr>
            <w:top w:val="none" w:sz="0" w:space="0" w:color="auto"/>
            <w:left w:val="none" w:sz="0" w:space="0" w:color="auto"/>
            <w:bottom w:val="none" w:sz="0" w:space="0" w:color="auto"/>
            <w:right w:val="none" w:sz="0" w:space="0" w:color="auto"/>
          </w:divBdr>
          <w:divsChild>
            <w:div w:id="212691607">
              <w:marLeft w:val="0"/>
              <w:marRight w:val="0"/>
              <w:marTop w:val="0"/>
              <w:marBottom w:val="0"/>
              <w:divBdr>
                <w:top w:val="none" w:sz="0" w:space="0" w:color="auto"/>
                <w:left w:val="none" w:sz="0" w:space="0" w:color="auto"/>
                <w:bottom w:val="none" w:sz="0" w:space="0" w:color="auto"/>
                <w:right w:val="none" w:sz="0" w:space="0" w:color="auto"/>
              </w:divBdr>
              <w:divsChild>
                <w:div w:id="1646472656">
                  <w:marLeft w:val="0"/>
                  <w:marRight w:val="0"/>
                  <w:marTop w:val="0"/>
                  <w:marBottom w:val="0"/>
                  <w:divBdr>
                    <w:top w:val="none" w:sz="0" w:space="0" w:color="auto"/>
                    <w:left w:val="none" w:sz="0" w:space="0" w:color="auto"/>
                    <w:bottom w:val="none" w:sz="0" w:space="0" w:color="auto"/>
                    <w:right w:val="none" w:sz="0" w:space="0" w:color="auto"/>
                  </w:divBdr>
                  <w:divsChild>
                    <w:div w:id="1666086372">
                      <w:marLeft w:val="0"/>
                      <w:marRight w:val="0"/>
                      <w:marTop w:val="0"/>
                      <w:marBottom w:val="0"/>
                      <w:divBdr>
                        <w:top w:val="none" w:sz="0" w:space="0" w:color="auto"/>
                        <w:left w:val="none" w:sz="0" w:space="0" w:color="auto"/>
                        <w:bottom w:val="none" w:sz="0" w:space="0" w:color="auto"/>
                        <w:right w:val="none" w:sz="0" w:space="0" w:color="auto"/>
                      </w:divBdr>
                      <w:divsChild>
                        <w:div w:id="1503088107">
                          <w:marLeft w:val="0"/>
                          <w:marRight w:val="0"/>
                          <w:marTop w:val="0"/>
                          <w:marBottom w:val="0"/>
                          <w:divBdr>
                            <w:top w:val="none" w:sz="0" w:space="0" w:color="auto"/>
                            <w:left w:val="none" w:sz="0" w:space="0" w:color="auto"/>
                            <w:bottom w:val="none" w:sz="0" w:space="0" w:color="auto"/>
                            <w:right w:val="none" w:sz="0" w:space="0" w:color="auto"/>
                          </w:divBdr>
                          <w:divsChild>
                            <w:div w:id="1057052760">
                              <w:marLeft w:val="0"/>
                              <w:marRight w:val="0"/>
                              <w:marTop w:val="0"/>
                              <w:marBottom w:val="0"/>
                              <w:divBdr>
                                <w:top w:val="none" w:sz="0" w:space="0" w:color="auto"/>
                                <w:left w:val="none" w:sz="0" w:space="0" w:color="auto"/>
                                <w:bottom w:val="none" w:sz="0" w:space="0" w:color="auto"/>
                                <w:right w:val="none" w:sz="0" w:space="0" w:color="auto"/>
                              </w:divBdr>
                            </w:div>
                          </w:divsChild>
                        </w:div>
                        <w:div w:id="1744453932">
                          <w:marLeft w:val="0"/>
                          <w:marRight w:val="0"/>
                          <w:marTop w:val="0"/>
                          <w:marBottom w:val="0"/>
                          <w:divBdr>
                            <w:top w:val="none" w:sz="0" w:space="0" w:color="auto"/>
                            <w:left w:val="none" w:sz="0" w:space="0" w:color="auto"/>
                            <w:bottom w:val="none" w:sz="0" w:space="0" w:color="auto"/>
                            <w:right w:val="none" w:sz="0" w:space="0" w:color="auto"/>
                          </w:divBdr>
                          <w:divsChild>
                            <w:div w:id="16301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116349">
          <w:marLeft w:val="0"/>
          <w:marRight w:val="0"/>
          <w:marTop w:val="0"/>
          <w:marBottom w:val="0"/>
          <w:divBdr>
            <w:top w:val="none" w:sz="0" w:space="0" w:color="auto"/>
            <w:left w:val="none" w:sz="0" w:space="0" w:color="auto"/>
            <w:bottom w:val="none" w:sz="0" w:space="0" w:color="auto"/>
            <w:right w:val="none" w:sz="0" w:space="0" w:color="auto"/>
          </w:divBdr>
          <w:divsChild>
            <w:div w:id="126318133">
              <w:marLeft w:val="0"/>
              <w:marRight w:val="0"/>
              <w:marTop w:val="0"/>
              <w:marBottom w:val="0"/>
              <w:divBdr>
                <w:top w:val="none" w:sz="0" w:space="0" w:color="auto"/>
                <w:left w:val="none" w:sz="0" w:space="0" w:color="auto"/>
                <w:bottom w:val="none" w:sz="0" w:space="0" w:color="auto"/>
                <w:right w:val="none" w:sz="0" w:space="0" w:color="auto"/>
              </w:divBdr>
              <w:divsChild>
                <w:div w:id="2102990463">
                  <w:marLeft w:val="0"/>
                  <w:marRight w:val="0"/>
                  <w:marTop w:val="0"/>
                  <w:marBottom w:val="0"/>
                  <w:divBdr>
                    <w:top w:val="none" w:sz="0" w:space="0" w:color="auto"/>
                    <w:left w:val="none" w:sz="0" w:space="0" w:color="auto"/>
                    <w:bottom w:val="none" w:sz="0" w:space="0" w:color="auto"/>
                    <w:right w:val="none" w:sz="0" w:space="0" w:color="auto"/>
                  </w:divBdr>
                  <w:divsChild>
                    <w:div w:id="406388789">
                      <w:marLeft w:val="0"/>
                      <w:marRight w:val="0"/>
                      <w:marTop w:val="0"/>
                      <w:marBottom w:val="0"/>
                      <w:divBdr>
                        <w:top w:val="none" w:sz="0" w:space="0" w:color="auto"/>
                        <w:left w:val="none" w:sz="0" w:space="0" w:color="auto"/>
                        <w:bottom w:val="none" w:sz="0" w:space="0" w:color="auto"/>
                        <w:right w:val="none" w:sz="0" w:space="0" w:color="auto"/>
                      </w:divBdr>
                      <w:divsChild>
                        <w:div w:id="1134448466">
                          <w:marLeft w:val="0"/>
                          <w:marRight w:val="0"/>
                          <w:marTop w:val="0"/>
                          <w:marBottom w:val="0"/>
                          <w:divBdr>
                            <w:top w:val="none" w:sz="0" w:space="0" w:color="auto"/>
                            <w:left w:val="none" w:sz="0" w:space="0" w:color="auto"/>
                            <w:bottom w:val="none" w:sz="0" w:space="0" w:color="auto"/>
                            <w:right w:val="none" w:sz="0" w:space="0" w:color="auto"/>
                          </w:divBdr>
                          <w:divsChild>
                            <w:div w:id="19828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5875">
                      <w:marLeft w:val="0"/>
                      <w:marRight w:val="0"/>
                      <w:marTop w:val="0"/>
                      <w:marBottom w:val="0"/>
                      <w:divBdr>
                        <w:top w:val="none" w:sz="0" w:space="0" w:color="auto"/>
                        <w:left w:val="none" w:sz="0" w:space="0" w:color="auto"/>
                        <w:bottom w:val="none" w:sz="0" w:space="0" w:color="auto"/>
                        <w:right w:val="none" w:sz="0" w:space="0" w:color="auto"/>
                      </w:divBdr>
                      <w:divsChild>
                        <w:div w:id="2018848388">
                          <w:marLeft w:val="0"/>
                          <w:marRight w:val="0"/>
                          <w:marTop w:val="0"/>
                          <w:marBottom w:val="0"/>
                          <w:divBdr>
                            <w:top w:val="none" w:sz="0" w:space="0" w:color="auto"/>
                            <w:left w:val="none" w:sz="0" w:space="0" w:color="auto"/>
                            <w:bottom w:val="none" w:sz="0" w:space="0" w:color="auto"/>
                            <w:right w:val="none" w:sz="0" w:space="0" w:color="auto"/>
                          </w:divBdr>
                          <w:divsChild>
                            <w:div w:id="894896859">
                              <w:marLeft w:val="0"/>
                              <w:marRight w:val="0"/>
                              <w:marTop w:val="0"/>
                              <w:marBottom w:val="0"/>
                              <w:divBdr>
                                <w:top w:val="none" w:sz="0" w:space="0" w:color="auto"/>
                                <w:left w:val="none" w:sz="0" w:space="0" w:color="auto"/>
                                <w:bottom w:val="none" w:sz="0" w:space="0" w:color="auto"/>
                                <w:right w:val="none" w:sz="0" w:space="0" w:color="auto"/>
                              </w:divBdr>
                              <w:divsChild>
                                <w:div w:id="197768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570540">
          <w:marLeft w:val="0"/>
          <w:marRight w:val="0"/>
          <w:marTop w:val="0"/>
          <w:marBottom w:val="0"/>
          <w:divBdr>
            <w:top w:val="none" w:sz="0" w:space="0" w:color="auto"/>
            <w:left w:val="none" w:sz="0" w:space="0" w:color="auto"/>
            <w:bottom w:val="none" w:sz="0" w:space="0" w:color="auto"/>
            <w:right w:val="none" w:sz="0" w:space="0" w:color="auto"/>
          </w:divBdr>
          <w:divsChild>
            <w:div w:id="346176727">
              <w:marLeft w:val="0"/>
              <w:marRight w:val="0"/>
              <w:marTop w:val="0"/>
              <w:marBottom w:val="0"/>
              <w:divBdr>
                <w:top w:val="none" w:sz="0" w:space="0" w:color="auto"/>
                <w:left w:val="none" w:sz="0" w:space="0" w:color="auto"/>
                <w:bottom w:val="none" w:sz="0" w:space="0" w:color="auto"/>
                <w:right w:val="none" w:sz="0" w:space="0" w:color="auto"/>
              </w:divBdr>
              <w:divsChild>
                <w:div w:id="480342505">
                  <w:marLeft w:val="0"/>
                  <w:marRight w:val="0"/>
                  <w:marTop w:val="0"/>
                  <w:marBottom w:val="0"/>
                  <w:divBdr>
                    <w:top w:val="none" w:sz="0" w:space="0" w:color="auto"/>
                    <w:left w:val="none" w:sz="0" w:space="0" w:color="auto"/>
                    <w:bottom w:val="none" w:sz="0" w:space="0" w:color="auto"/>
                    <w:right w:val="none" w:sz="0" w:space="0" w:color="auto"/>
                  </w:divBdr>
                  <w:divsChild>
                    <w:div w:id="1579483911">
                      <w:marLeft w:val="0"/>
                      <w:marRight w:val="0"/>
                      <w:marTop w:val="0"/>
                      <w:marBottom w:val="0"/>
                      <w:divBdr>
                        <w:top w:val="none" w:sz="0" w:space="0" w:color="auto"/>
                        <w:left w:val="none" w:sz="0" w:space="0" w:color="auto"/>
                        <w:bottom w:val="none" w:sz="0" w:space="0" w:color="auto"/>
                        <w:right w:val="none" w:sz="0" w:space="0" w:color="auto"/>
                      </w:divBdr>
                      <w:divsChild>
                        <w:div w:id="309409620">
                          <w:marLeft w:val="0"/>
                          <w:marRight w:val="0"/>
                          <w:marTop w:val="0"/>
                          <w:marBottom w:val="0"/>
                          <w:divBdr>
                            <w:top w:val="none" w:sz="0" w:space="0" w:color="auto"/>
                            <w:left w:val="none" w:sz="0" w:space="0" w:color="auto"/>
                            <w:bottom w:val="none" w:sz="0" w:space="0" w:color="auto"/>
                            <w:right w:val="none" w:sz="0" w:space="0" w:color="auto"/>
                          </w:divBdr>
                          <w:divsChild>
                            <w:div w:id="2099446471">
                              <w:marLeft w:val="0"/>
                              <w:marRight w:val="0"/>
                              <w:marTop w:val="0"/>
                              <w:marBottom w:val="0"/>
                              <w:divBdr>
                                <w:top w:val="none" w:sz="0" w:space="0" w:color="auto"/>
                                <w:left w:val="none" w:sz="0" w:space="0" w:color="auto"/>
                                <w:bottom w:val="none" w:sz="0" w:space="0" w:color="auto"/>
                                <w:right w:val="none" w:sz="0" w:space="0" w:color="auto"/>
                              </w:divBdr>
                            </w:div>
                          </w:divsChild>
                        </w:div>
                        <w:div w:id="1248271358">
                          <w:marLeft w:val="0"/>
                          <w:marRight w:val="0"/>
                          <w:marTop w:val="0"/>
                          <w:marBottom w:val="0"/>
                          <w:divBdr>
                            <w:top w:val="none" w:sz="0" w:space="0" w:color="auto"/>
                            <w:left w:val="none" w:sz="0" w:space="0" w:color="auto"/>
                            <w:bottom w:val="none" w:sz="0" w:space="0" w:color="auto"/>
                            <w:right w:val="none" w:sz="0" w:space="0" w:color="auto"/>
                          </w:divBdr>
                          <w:divsChild>
                            <w:div w:id="47672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022215">
          <w:marLeft w:val="0"/>
          <w:marRight w:val="0"/>
          <w:marTop w:val="0"/>
          <w:marBottom w:val="0"/>
          <w:divBdr>
            <w:top w:val="none" w:sz="0" w:space="0" w:color="auto"/>
            <w:left w:val="none" w:sz="0" w:space="0" w:color="auto"/>
            <w:bottom w:val="none" w:sz="0" w:space="0" w:color="auto"/>
            <w:right w:val="none" w:sz="0" w:space="0" w:color="auto"/>
          </w:divBdr>
          <w:divsChild>
            <w:div w:id="825587382">
              <w:marLeft w:val="0"/>
              <w:marRight w:val="0"/>
              <w:marTop w:val="0"/>
              <w:marBottom w:val="0"/>
              <w:divBdr>
                <w:top w:val="none" w:sz="0" w:space="0" w:color="auto"/>
                <w:left w:val="none" w:sz="0" w:space="0" w:color="auto"/>
                <w:bottom w:val="none" w:sz="0" w:space="0" w:color="auto"/>
                <w:right w:val="none" w:sz="0" w:space="0" w:color="auto"/>
              </w:divBdr>
              <w:divsChild>
                <w:div w:id="1984650531">
                  <w:marLeft w:val="0"/>
                  <w:marRight w:val="0"/>
                  <w:marTop w:val="0"/>
                  <w:marBottom w:val="0"/>
                  <w:divBdr>
                    <w:top w:val="none" w:sz="0" w:space="0" w:color="auto"/>
                    <w:left w:val="none" w:sz="0" w:space="0" w:color="auto"/>
                    <w:bottom w:val="none" w:sz="0" w:space="0" w:color="auto"/>
                    <w:right w:val="none" w:sz="0" w:space="0" w:color="auto"/>
                  </w:divBdr>
                  <w:divsChild>
                    <w:div w:id="1154180106">
                      <w:marLeft w:val="0"/>
                      <w:marRight w:val="0"/>
                      <w:marTop w:val="0"/>
                      <w:marBottom w:val="0"/>
                      <w:divBdr>
                        <w:top w:val="none" w:sz="0" w:space="0" w:color="auto"/>
                        <w:left w:val="none" w:sz="0" w:space="0" w:color="auto"/>
                        <w:bottom w:val="none" w:sz="0" w:space="0" w:color="auto"/>
                        <w:right w:val="none" w:sz="0" w:space="0" w:color="auto"/>
                      </w:divBdr>
                      <w:divsChild>
                        <w:div w:id="2753284">
                          <w:marLeft w:val="0"/>
                          <w:marRight w:val="0"/>
                          <w:marTop w:val="0"/>
                          <w:marBottom w:val="0"/>
                          <w:divBdr>
                            <w:top w:val="none" w:sz="0" w:space="0" w:color="auto"/>
                            <w:left w:val="none" w:sz="0" w:space="0" w:color="auto"/>
                            <w:bottom w:val="none" w:sz="0" w:space="0" w:color="auto"/>
                            <w:right w:val="none" w:sz="0" w:space="0" w:color="auto"/>
                          </w:divBdr>
                          <w:divsChild>
                            <w:div w:id="158553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0060">
      <w:bodyDiv w:val="1"/>
      <w:marLeft w:val="0"/>
      <w:marRight w:val="0"/>
      <w:marTop w:val="0"/>
      <w:marBottom w:val="0"/>
      <w:divBdr>
        <w:top w:val="none" w:sz="0" w:space="0" w:color="auto"/>
        <w:left w:val="none" w:sz="0" w:space="0" w:color="auto"/>
        <w:bottom w:val="none" w:sz="0" w:space="0" w:color="auto"/>
        <w:right w:val="none" w:sz="0" w:space="0" w:color="auto"/>
      </w:divBdr>
      <w:divsChild>
        <w:div w:id="1357805250">
          <w:marLeft w:val="0"/>
          <w:marRight w:val="0"/>
          <w:marTop w:val="0"/>
          <w:marBottom w:val="0"/>
          <w:divBdr>
            <w:top w:val="none" w:sz="0" w:space="0" w:color="auto"/>
            <w:left w:val="none" w:sz="0" w:space="0" w:color="auto"/>
            <w:bottom w:val="none" w:sz="0" w:space="0" w:color="auto"/>
            <w:right w:val="none" w:sz="0" w:space="0" w:color="auto"/>
          </w:divBdr>
          <w:divsChild>
            <w:div w:id="1543321079">
              <w:marLeft w:val="0"/>
              <w:marRight w:val="0"/>
              <w:marTop w:val="0"/>
              <w:marBottom w:val="0"/>
              <w:divBdr>
                <w:top w:val="none" w:sz="0" w:space="0" w:color="auto"/>
                <w:left w:val="none" w:sz="0" w:space="0" w:color="auto"/>
                <w:bottom w:val="none" w:sz="0" w:space="0" w:color="auto"/>
                <w:right w:val="none" w:sz="0" w:space="0" w:color="auto"/>
              </w:divBdr>
              <w:divsChild>
                <w:div w:id="684020437">
                  <w:marLeft w:val="0"/>
                  <w:marRight w:val="0"/>
                  <w:marTop w:val="0"/>
                  <w:marBottom w:val="0"/>
                  <w:divBdr>
                    <w:top w:val="none" w:sz="0" w:space="0" w:color="auto"/>
                    <w:left w:val="none" w:sz="0" w:space="0" w:color="auto"/>
                    <w:bottom w:val="none" w:sz="0" w:space="0" w:color="auto"/>
                    <w:right w:val="none" w:sz="0" w:space="0" w:color="auto"/>
                  </w:divBdr>
                  <w:divsChild>
                    <w:div w:id="1448935765">
                      <w:marLeft w:val="0"/>
                      <w:marRight w:val="0"/>
                      <w:marTop w:val="0"/>
                      <w:marBottom w:val="0"/>
                      <w:divBdr>
                        <w:top w:val="none" w:sz="0" w:space="0" w:color="auto"/>
                        <w:left w:val="none" w:sz="0" w:space="0" w:color="auto"/>
                        <w:bottom w:val="none" w:sz="0" w:space="0" w:color="auto"/>
                        <w:right w:val="none" w:sz="0" w:space="0" w:color="auto"/>
                      </w:divBdr>
                      <w:divsChild>
                        <w:div w:id="683748541">
                          <w:marLeft w:val="0"/>
                          <w:marRight w:val="0"/>
                          <w:marTop w:val="0"/>
                          <w:marBottom w:val="0"/>
                          <w:divBdr>
                            <w:top w:val="none" w:sz="0" w:space="0" w:color="auto"/>
                            <w:left w:val="none" w:sz="0" w:space="0" w:color="auto"/>
                            <w:bottom w:val="none" w:sz="0" w:space="0" w:color="auto"/>
                            <w:right w:val="none" w:sz="0" w:space="0" w:color="auto"/>
                          </w:divBdr>
                          <w:divsChild>
                            <w:div w:id="97271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72179">
                      <w:marLeft w:val="0"/>
                      <w:marRight w:val="0"/>
                      <w:marTop w:val="0"/>
                      <w:marBottom w:val="0"/>
                      <w:divBdr>
                        <w:top w:val="none" w:sz="0" w:space="0" w:color="auto"/>
                        <w:left w:val="none" w:sz="0" w:space="0" w:color="auto"/>
                        <w:bottom w:val="none" w:sz="0" w:space="0" w:color="auto"/>
                        <w:right w:val="none" w:sz="0" w:space="0" w:color="auto"/>
                      </w:divBdr>
                      <w:divsChild>
                        <w:div w:id="1411344771">
                          <w:marLeft w:val="0"/>
                          <w:marRight w:val="0"/>
                          <w:marTop w:val="0"/>
                          <w:marBottom w:val="0"/>
                          <w:divBdr>
                            <w:top w:val="none" w:sz="0" w:space="0" w:color="auto"/>
                            <w:left w:val="none" w:sz="0" w:space="0" w:color="auto"/>
                            <w:bottom w:val="none" w:sz="0" w:space="0" w:color="auto"/>
                            <w:right w:val="none" w:sz="0" w:space="0" w:color="auto"/>
                          </w:divBdr>
                          <w:divsChild>
                            <w:div w:id="1556042019">
                              <w:marLeft w:val="0"/>
                              <w:marRight w:val="0"/>
                              <w:marTop w:val="0"/>
                              <w:marBottom w:val="0"/>
                              <w:divBdr>
                                <w:top w:val="none" w:sz="0" w:space="0" w:color="auto"/>
                                <w:left w:val="none" w:sz="0" w:space="0" w:color="auto"/>
                                <w:bottom w:val="none" w:sz="0" w:space="0" w:color="auto"/>
                                <w:right w:val="none" w:sz="0" w:space="0" w:color="auto"/>
                              </w:divBdr>
                              <w:divsChild>
                                <w:div w:id="2772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534863">
          <w:marLeft w:val="0"/>
          <w:marRight w:val="0"/>
          <w:marTop w:val="0"/>
          <w:marBottom w:val="0"/>
          <w:divBdr>
            <w:top w:val="none" w:sz="0" w:space="0" w:color="auto"/>
            <w:left w:val="none" w:sz="0" w:space="0" w:color="auto"/>
            <w:bottom w:val="none" w:sz="0" w:space="0" w:color="auto"/>
            <w:right w:val="none" w:sz="0" w:space="0" w:color="auto"/>
          </w:divBdr>
          <w:divsChild>
            <w:div w:id="2088915569">
              <w:marLeft w:val="0"/>
              <w:marRight w:val="0"/>
              <w:marTop w:val="0"/>
              <w:marBottom w:val="0"/>
              <w:divBdr>
                <w:top w:val="none" w:sz="0" w:space="0" w:color="auto"/>
                <w:left w:val="none" w:sz="0" w:space="0" w:color="auto"/>
                <w:bottom w:val="none" w:sz="0" w:space="0" w:color="auto"/>
                <w:right w:val="none" w:sz="0" w:space="0" w:color="auto"/>
              </w:divBdr>
              <w:divsChild>
                <w:div w:id="1160579756">
                  <w:marLeft w:val="0"/>
                  <w:marRight w:val="0"/>
                  <w:marTop w:val="0"/>
                  <w:marBottom w:val="0"/>
                  <w:divBdr>
                    <w:top w:val="none" w:sz="0" w:space="0" w:color="auto"/>
                    <w:left w:val="none" w:sz="0" w:space="0" w:color="auto"/>
                    <w:bottom w:val="none" w:sz="0" w:space="0" w:color="auto"/>
                    <w:right w:val="none" w:sz="0" w:space="0" w:color="auto"/>
                  </w:divBdr>
                  <w:divsChild>
                    <w:div w:id="750539640">
                      <w:marLeft w:val="0"/>
                      <w:marRight w:val="0"/>
                      <w:marTop w:val="0"/>
                      <w:marBottom w:val="0"/>
                      <w:divBdr>
                        <w:top w:val="none" w:sz="0" w:space="0" w:color="auto"/>
                        <w:left w:val="none" w:sz="0" w:space="0" w:color="auto"/>
                        <w:bottom w:val="none" w:sz="0" w:space="0" w:color="auto"/>
                        <w:right w:val="none" w:sz="0" w:space="0" w:color="auto"/>
                      </w:divBdr>
                      <w:divsChild>
                        <w:div w:id="1561209465">
                          <w:marLeft w:val="0"/>
                          <w:marRight w:val="0"/>
                          <w:marTop w:val="0"/>
                          <w:marBottom w:val="0"/>
                          <w:divBdr>
                            <w:top w:val="none" w:sz="0" w:space="0" w:color="auto"/>
                            <w:left w:val="none" w:sz="0" w:space="0" w:color="auto"/>
                            <w:bottom w:val="none" w:sz="0" w:space="0" w:color="auto"/>
                            <w:right w:val="none" w:sz="0" w:space="0" w:color="auto"/>
                          </w:divBdr>
                          <w:divsChild>
                            <w:div w:id="741148708">
                              <w:marLeft w:val="0"/>
                              <w:marRight w:val="0"/>
                              <w:marTop w:val="0"/>
                              <w:marBottom w:val="0"/>
                              <w:divBdr>
                                <w:top w:val="none" w:sz="0" w:space="0" w:color="auto"/>
                                <w:left w:val="none" w:sz="0" w:space="0" w:color="auto"/>
                                <w:bottom w:val="none" w:sz="0" w:space="0" w:color="auto"/>
                                <w:right w:val="none" w:sz="0" w:space="0" w:color="auto"/>
                              </w:divBdr>
                            </w:div>
                          </w:divsChild>
                        </w:div>
                        <w:div w:id="1547178056">
                          <w:marLeft w:val="0"/>
                          <w:marRight w:val="0"/>
                          <w:marTop w:val="0"/>
                          <w:marBottom w:val="0"/>
                          <w:divBdr>
                            <w:top w:val="none" w:sz="0" w:space="0" w:color="auto"/>
                            <w:left w:val="none" w:sz="0" w:space="0" w:color="auto"/>
                            <w:bottom w:val="none" w:sz="0" w:space="0" w:color="auto"/>
                            <w:right w:val="none" w:sz="0" w:space="0" w:color="auto"/>
                          </w:divBdr>
                          <w:divsChild>
                            <w:div w:id="7656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790407">
          <w:marLeft w:val="0"/>
          <w:marRight w:val="0"/>
          <w:marTop w:val="0"/>
          <w:marBottom w:val="0"/>
          <w:divBdr>
            <w:top w:val="none" w:sz="0" w:space="0" w:color="auto"/>
            <w:left w:val="none" w:sz="0" w:space="0" w:color="auto"/>
            <w:bottom w:val="none" w:sz="0" w:space="0" w:color="auto"/>
            <w:right w:val="none" w:sz="0" w:space="0" w:color="auto"/>
          </w:divBdr>
          <w:divsChild>
            <w:div w:id="1366364541">
              <w:marLeft w:val="0"/>
              <w:marRight w:val="0"/>
              <w:marTop w:val="0"/>
              <w:marBottom w:val="0"/>
              <w:divBdr>
                <w:top w:val="none" w:sz="0" w:space="0" w:color="auto"/>
                <w:left w:val="none" w:sz="0" w:space="0" w:color="auto"/>
                <w:bottom w:val="none" w:sz="0" w:space="0" w:color="auto"/>
                <w:right w:val="none" w:sz="0" w:space="0" w:color="auto"/>
              </w:divBdr>
              <w:divsChild>
                <w:div w:id="822310545">
                  <w:marLeft w:val="0"/>
                  <w:marRight w:val="0"/>
                  <w:marTop w:val="0"/>
                  <w:marBottom w:val="0"/>
                  <w:divBdr>
                    <w:top w:val="none" w:sz="0" w:space="0" w:color="auto"/>
                    <w:left w:val="none" w:sz="0" w:space="0" w:color="auto"/>
                    <w:bottom w:val="none" w:sz="0" w:space="0" w:color="auto"/>
                    <w:right w:val="none" w:sz="0" w:space="0" w:color="auto"/>
                  </w:divBdr>
                  <w:divsChild>
                    <w:div w:id="1854144786">
                      <w:marLeft w:val="0"/>
                      <w:marRight w:val="0"/>
                      <w:marTop w:val="0"/>
                      <w:marBottom w:val="0"/>
                      <w:divBdr>
                        <w:top w:val="none" w:sz="0" w:space="0" w:color="auto"/>
                        <w:left w:val="none" w:sz="0" w:space="0" w:color="auto"/>
                        <w:bottom w:val="none" w:sz="0" w:space="0" w:color="auto"/>
                        <w:right w:val="none" w:sz="0" w:space="0" w:color="auto"/>
                      </w:divBdr>
                      <w:divsChild>
                        <w:div w:id="4985530">
                          <w:marLeft w:val="0"/>
                          <w:marRight w:val="0"/>
                          <w:marTop w:val="0"/>
                          <w:marBottom w:val="0"/>
                          <w:divBdr>
                            <w:top w:val="none" w:sz="0" w:space="0" w:color="auto"/>
                            <w:left w:val="none" w:sz="0" w:space="0" w:color="auto"/>
                            <w:bottom w:val="none" w:sz="0" w:space="0" w:color="auto"/>
                            <w:right w:val="none" w:sz="0" w:space="0" w:color="auto"/>
                          </w:divBdr>
                          <w:divsChild>
                            <w:div w:id="170375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1903">
                      <w:marLeft w:val="0"/>
                      <w:marRight w:val="0"/>
                      <w:marTop w:val="0"/>
                      <w:marBottom w:val="0"/>
                      <w:divBdr>
                        <w:top w:val="none" w:sz="0" w:space="0" w:color="auto"/>
                        <w:left w:val="none" w:sz="0" w:space="0" w:color="auto"/>
                        <w:bottom w:val="none" w:sz="0" w:space="0" w:color="auto"/>
                        <w:right w:val="none" w:sz="0" w:space="0" w:color="auto"/>
                      </w:divBdr>
                      <w:divsChild>
                        <w:div w:id="261688773">
                          <w:marLeft w:val="0"/>
                          <w:marRight w:val="0"/>
                          <w:marTop w:val="0"/>
                          <w:marBottom w:val="0"/>
                          <w:divBdr>
                            <w:top w:val="none" w:sz="0" w:space="0" w:color="auto"/>
                            <w:left w:val="none" w:sz="0" w:space="0" w:color="auto"/>
                            <w:bottom w:val="none" w:sz="0" w:space="0" w:color="auto"/>
                            <w:right w:val="none" w:sz="0" w:space="0" w:color="auto"/>
                          </w:divBdr>
                          <w:divsChild>
                            <w:div w:id="983389520">
                              <w:marLeft w:val="0"/>
                              <w:marRight w:val="0"/>
                              <w:marTop w:val="0"/>
                              <w:marBottom w:val="0"/>
                              <w:divBdr>
                                <w:top w:val="none" w:sz="0" w:space="0" w:color="auto"/>
                                <w:left w:val="none" w:sz="0" w:space="0" w:color="auto"/>
                                <w:bottom w:val="none" w:sz="0" w:space="0" w:color="auto"/>
                                <w:right w:val="none" w:sz="0" w:space="0" w:color="auto"/>
                              </w:divBdr>
                              <w:divsChild>
                                <w:div w:id="2472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469103">
          <w:marLeft w:val="0"/>
          <w:marRight w:val="0"/>
          <w:marTop w:val="0"/>
          <w:marBottom w:val="0"/>
          <w:divBdr>
            <w:top w:val="none" w:sz="0" w:space="0" w:color="auto"/>
            <w:left w:val="none" w:sz="0" w:space="0" w:color="auto"/>
            <w:bottom w:val="none" w:sz="0" w:space="0" w:color="auto"/>
            <w:right w:val="none" w:sz="0" w:space="0" w:color="auto"/>
          </w:divBdr>
          <w:divsChild>
            <w:div w:id="110393625">
              <w:marLeft w:val="0"/>
              <w:marRight w:val="0"/>
              <w:marTop w:val="0"/>
              <w:marBottom w:val="0"/>
              <w:divBdr>
                <w:top w:val="none" w:sz="0" w:space="0" w:color="auto"/>
                <w:left w:val="none" w:sz="0" w:space="0" w:color="auto"/>
                <w:bottom w:val="none" w:sz="0" w:space="0" w:color="auto"/>
                <w:right w:val="none" w:sz="0" w:space="0" w:color="auto"/>
              </w:divBdr>
              <w:divsChild>
                <w:div w:id="1255937382">
                  <w:marLeft w:val="0"/>
                  <w:marRight w:val="0"/>
                  <w:marTop w:val="0"/>
                  <w:marBottom w:val="0"/>
                  <w:divBdr>
                    <w:top w:val="none" w:sz="0" w:space="0" w:color="auto"/>
                    <w:left w:val="none" w:sz="0" w:space="0" w:color="auto"/>
                    <w:bottom w:val="none" w:sz="0" w:space="0" w:color="auto"/>
                    <w:right w:val="none" w:sz="0" w:space="0" w:color="auto"/>
                  </w:divBdr>
                  <w:divsChild>
                    <w:div w:id="529495340">
                      <w:marLeft w:val="0"/>
                      <w:marRight w:val="0"/>
                      <w:marTop w:val="0"/>
                      <w:marBottom w:val="0"/>
                      <w:divBdr>
                        <w:top w:val="none" w:sz="0" w:space="0" w:color="auto"/>
                        <w:left w:val="none" w:sz="0" w:space="0" w:color="auto"/>
                        <w:bottom w:val="none" w:sz="0" w:space="0" w:color="auto"/>
                        <w:right w:val="none" w:sz="0" w:space="0" w:color="auto"/>
                      </w:divBdr>
                      <w:divsChild>
                        <w:div w:id="2114982372">
                          <w:marLeft w:val="0"/>
                          <w:marRight w:val="0"/>
                          <w:marTop w:val="0"/>
                          <w:marBottom w:val="0"/>
                          <w:divBdr>
                            <w:top w:val="none" w:sz="0" w:space="0" w:color="auto"/>
                            <w:left w:val="none" w:sz="0" w:space="0" w:color="auto"/>
                            <w:bottom w:val="none" w:sz="0" w:space="0" w:color="auto"/>
                            <w:right w:val="none" w:sz="0" w:space="0" w:color="auto"/>
                          </w:divBdr>
                          <w:divsChild>
                            <w:div w:id="1836069858">
                              <w:marLeft w:val="0"/>
                              <w:marRight w:val="0"/>
                              <w:marTop w:val="0"/>
                              <w:marBottom w:val="0"/>
                              <w:divBdr>
                                <w:top w:val="none" w:sz="0" w:space="0" w:color="auto"/>
                                <w:left w:val="none" w:sz="0" w:space="0" w:color="auto"/>
                                <w:bottom w:val="none" w:sz="0" w:space="0" w:color="auto"/>
                                <w:right w:val="none" w:sz="0" w:space="0" w:color="auto"/>
                              </w:divBdr>
                            </w:div>
                          </w:divsChild>
                        </w:div>
                        <w:div w:id="1502160512">
                          <w:marLeft w:val="0"/>
                          <w:marRight w:val="0"/>
                          <w:marTop w:val="0"/>
                          <w:marBottom w:val="0"/>
                          <w:divBdr>
                            <w:top w:val="none" w:sz="0" w:space="0" w:color="auto"/>
                            <w:left w:val="none" w:sz="0" w:space="0" w:color="auto"/>
                            <w:bottom w:val="none" w:sz="0" w:space="0" w:color="auto"/>
                            <w:right w:val="none" w:sz="0" w:space="0" w:color="auto"/>
                          </w:divBdr>
                          <w:divsChild>
                            <w:div w:id="185958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488346">
          <w:marLeft w:val="0"/>
          <w:marRight w:val="0"/>
          <w:marTop w:val="0"/>
          <w:marBottom w:val="0"/>
          <w:divBdr>
            <w:top w:val="none" w:sz="0" w:space="0" w:color="auto"/>
            <w:left w:val="none" w:sz="0" w:space="0" w:color="auto"/>
            <w:bottom w:val="none" w:sz="0" w:space="0" w:color="auto"/>
            <w:right w:val="none" w:sz="0" w:space="0" w:color="auto"/>
          </w:divBdr>
          <w:divsChild>
            <w:div w:id="1585725307">
              <w:marLeft w:val="0"/>
              <w:marRight w:val="0"/>
              <w:marTop w:val="0"/>
              <w:marBottom w:val="0"/>
              <w:divBdr>
                <w:top w:val="none" w:sz="0" w:space="0" w:color="auto"/>
                <w:left w:val="none" w:sz="0" w:space="0" w:color="auto"/>
                <w:bottom w:val="none" w:sz="0" w:space="0" w:color="auto"/>
                <w:right w:val="none" w:sz="0" w:space="0" w:color="auto"/>
              </w:divBdr>
              <w:divsChild>
                <w:div w:id="2002661458">
                  <w:marLeft w:val="0"/>
                  <w:marRight w:val="0"/>
                  <w:marTop w:val="0"/>
                  <w:marBottom w:val="0"/>
                  <w:divBdr>
                    <w:top w:val="none" w:sz="0" w:space="0" w:color="auto"/>
                    <w:left w:val="none" w:sz="0" w:space="0" w:color="auto"/>
                    <w:bottom w:val="none" w:sz="0" w:space="0" w:color="auto"/>
                    <w:right w:val="none" w:sz="0" w:space="0" w:color="auto"/>
                  </w:divBdr>
                  <w:divsChild>
                    <w:div w:id="500318899">
                      <w:marLeft w:val="0"/>
                      <w:marRight w:val="0"/>
                      <w:marTop w:val="0"/>
                      <w:marBottom w:val="0"/>
                      <w:divBdr>
                        <w:top w:val="none" w:sz="0" w:space="0" w:color="auto"/>
                        <w:left w:val="none" w:sz="0" w:space="0" w:color="auto"/>
                        <w:bottom w:val="none" w:sz="0" w:space="0" w:color="auto"/>
                        <w:right w:val="none" w:sz="0" w:space="0" w:color="auto"/>
                      </w:divBdr>
                      <w:divsChild>
                        <w:div w:id="1041976409">
                          <w:marLeft w:val="0"/>
                          <w:marRight w:val="0"/>
                          <w:marTop w:val="0"/>
                          <w:marBottom w:val="0"/>
                          <w:divBdr>
                            <w:top w:val="none" w:sz="0" w:space="0" w:color="auto"/>
                            <w:left w:val="none" w:sz="0" w:space="0" w:color="auto"/>
                            <w:bottom w:val="none" w:sz="0" w:space="0" w:color="auto"/>
                            <w:right w:val="none" w:sz="0" w:space="0" w:color="auto"/>
                          </w:divBdr>
                          <w:divsChild>
                            <w:div w:id="18520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961013">
      <w:bodyDiv w:val="1"/>
      <w:marLeft w:val="0"/>
      <w:marRight w:val="0"/>
      <w:marTop w:val="0"/>
      <w:marBottom w:val="0"/>
      <w:divBdr>
        <w:top w:val="none" w:sz="0" w:space="0" w:color="auto"/>
        <w:left w:val="none" w:sz="0" w:space="0" w:color="auto"/>
        <w:bottom w:val="none" w:sz="0" w:space="0" w:color="auto"/>
        <w:right w:val="none" w:sz="0" w:space="0" w:color="auto"/>
      </w:divBdr>
    </w:div>
    <w:div w:id="1078596438">
      <w:bodyDiv w:val="1"/>
      <w:marLeft w:val="0"/>
      <w:marRight w:val="0"/>
      <w:marTop w:val="0"/>
      <w:marBottom w:val="0"/>
      <w:divBdr>
        <w:top w:val="none" w:sz="0" w:space="0" w:color="auto"/>
        <w:left w:val="none" w:sz="0" w:space="0" w:color="auto"/>
        <w:bottom w:val="none" w:sz="0" w:space="0" w:color="auto"/>
        <w:right w:val="none" w:sz="0" w:space="0" w:color="auto"/>
      </w:divBdr>
    </w:div>
    <w:div w:id="1178082367">
      <w:bodyDiv w:val="1"/>
      <w:marLeft w:val="0"/>
      <w:marRight w:val="0"/>
      <w:marTop w:val="0"/>
      <w:marBottom w:val="0"/>
      <w:divBdr>
        <w:top w:val="none" w:sz="0" w:space="0" w:color="auto"/>
        <w:left w:val="none" w:sz="0" w:space="0" w:color="auto"/>
        <w:bottom w:val="none" w:sz="0" w:space="0" w:color="auto"/>
        <w:right w:val="none" w:sz="0" w:space="0" w:color="auto"/>
      </w:divBdr>
      <w:divsChild>
        <w:div w:id="43457153">
          <w:marLeft w:val="0"/>
          <w:marRight w:val="0"/>
          <w:marTop w:val="0"/>
          <w:marBottom w:val="0"/>
          <w:divBdr>
            <w:top w:val="none" w:sz="0" w:space="0" w:color="auto"/>
            <w:left w:val="none" w:sz="0" w:space="0" w:color="auto"/>
            <w:bottom w:val="none" w:sz="0" w:space="0" w:color="auto"/>
            <w:right w:val="none" w:sz="0" w:space="0" w:color="auto"/>
          </w:divBdr>
          <w:divsChild>
            <w:div w:id="79639148">
              <w:marLeft w:val="0"/>
              <w:marRight w:val="0"/>
              <w:marTop w:val="0"/>
              <w:marBottom w:val="0"/>
              <w:divBdr>
                <w:top w:val="none" w:sz="0" w:space="0" w:color="auto"/>
                <w:left w:val="none" w:sz="0" w:space="0" w:color="auto"/>
                <w:bottom w:val="none" w:sz="0" w:space="0" w:color="auto"/>
                <w:right w:val="none" w:sz="0" w:space="0" w:color="auto"/>
              </w:divBdr>
              <w:divsChild>
                <w:div w:id="750548717">
                  <w:marLeft w:val="0"/>
                  <w:marRight w:val="0"/>
                  <w:marTop w:val="0"/>
                  <w:marBottom w:val="0"/>
                  <w:divBdr>
                    <w:top w:val="none" w:sz="0" w:space="0" w:color="auto"/>
                    <w:left w:val="none" w:sz="0" w:space="0" w:color="auto"/>
                    <w:bottom w:val="none" w:sz="0" w:space="0" w:color="auto"/>
                    <w:right w:val="none" w:sz="0" w:space="0" w:color="auto"/>
                  </w:divBdr>
                  <w:divsChild>
                    <w:div w:id="1533035682">
                      <w:marLeft w:val="0"/>
                      <w:marRight w:val="0"/>
                      <w:marTop w:val="0"/>
                      <w:marBottom w:val="0"/>
                      <w:divBdr>
                        <w:top w:val="none" w:sz="0" w:space="0" w:color="auto"/>
                        <w:left w:val="none" w:sz="0" w:space="0" w:color="auto"/>
                        <w:bottom w:val="none" w:sz="0" w:space="0" w:color="auto"/>
                        <w:right w:val="none" w:sz="0" w:space="0" w:color="auto"/>
                      </w:divBdr>
                      <w:divsChild>
                        <w:div w:id="1155336542">
                          <w:marLeft w:val="0"/>
                          <w:marRight w:val="0"/>
                          <w:marTop w:val="0"/>
                          <w:marBottom w:val="0"/>
                          <w:divBdr>
                            <w:top w:val="none" w:sz="0" w:space="0" w:color="auto"/>
                            <w:left w:val="none" w:sz="0" w:space="0" w:color="auto"/>
                            <w:bottom w:val="none" w:sz="0" w:space="0" w:color="auto"/>
                            <w:right w:val="none" w:sz="0" w:space="0" w:color="auto"/>
                          </w:divBdr>
                          <w:divsChild>
                            <w:div w:id="15461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88485">
                      <w:marLeft w:val="0"/>
                      <w:marRight w:val="0"/>
                      <w:marTop w:val="0"/>
                      <w:marBottom w:val="0"/>
                      <w:divBdr>
                        <w:top w:val="none" w:sz="0" w:space="0" w:color="auto"/>
                        <w:left w:val="none" w:sz="0" w:space="0" w:color="auto"/>
                        <w:bottom w:val="none" w:sz="0" w:space="0" w:color="auto"/>
                        <w:right w:val="none" w:sz="0" w:space="0" w:color="auto"/>
                      </w:divBdr>
                      <w:divsChild>
                        <w:div w:id="1747922447">
                          <w:marLeft w:val="0"/>
                          <w:marRight w:val="0"/>
                          <w:marTop w:val="0"/>
                          <w:marBottom w:val="0"/>
                          <w:divBdr>
                            <w:top w:val="none" w:sz="0" w:space="0" w:color="auto"/>
                            <w:left w:val="none" w:sz="0" w:space="0" w:color="auto"/>
                            <w:bottom w:val="none" w:sz="0" w:space="0" w:color="auto"/>
                            <w:right w:val="none" w:sz="0" w:space="0" w:color="auto"/>
                          </w:divBdr>
                          <w:divsChild>
                            <w:div w:id="1166821280">
                              <w:marLeft w:val="0"/>
                              <w:marRight w:val="0"/>
                              <w:marTop w:val="0"/>
                              <w:marBottom w:val="0"/>
                              <w:divBdr>
                                <w:top w:val="none" w:sz="0" w:space="0" w:color="auto"/>
                                <w:left w:val="none" w:sz="0" w:space="0" w:color="auto"/>
                                <w:bottom w:val="none" w:sz="0" w:space="0" w:color="auto"/>
                                <w:right w:val="none" w:sz="0" w:space="0" w:color="auto"/>
                              </w:divBdr>
                              <w:divsChild>
                                <w:div w:id="37801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72915">
          <w:marLeft w:val="0"/>
          <w:marRight w:val="0"/>
          <w:marTop w:val="0"/>
          <w:marBottom w:val="0"/>
          <w:divBdr>
            <w:top w:val="none" w:sz="0" w:space="0" w:color="auto"/>
            <w:left w:val="none" w:sz="0" w:space="0" w:color="auto"/>
            <w:bottom w:val="none" w:sz="0" w:space="0" w:color="auto"/>
            <w:right w:val="none" w:sz="0" w:space="0" w:color="auto"/>
          </w:divBdr>
          <w:divsChild>
            <w:div w:id="1231191081">
              <w:marLeft w:val="0"/>
              <w:marRight w:val="0"/>
              <w:marTop w:val="0"/>
              <w:marBottom w:val="0"/>
              <w:divBdr>
                <w:top w:val="none" w:sz="0" w:space="0" w:color="auto"/>
                <w:left w:val="none" w:sz="0" w:space="0" w:color="auto"/>
                <w:bottom w:val="none" w:sz="0" w:space="0" w:color="auto"/>
                <w:right w:val="none" w:sz="0" w:space="0" w:color="auto"/>
              </w:divBdr>
              <w:divsChild>
                <w:div w:id="922302333">
                  <w:marLeft w:val="0"/>
                  <w:marRight w:val="0"/>
                  <w:marTop w:val="0"/>
                  <w:marBottom w:val="0"/>
                  <w:divBdr>
                    <w:top w:val="none" w:sz="0" w:space="0" w:color="auto"/>
                    <w:left w:val="none" w:sz="0" w:space="0" w:color="auto"/>
                    <w:bottom w:val="none" w:sz="0" w:space="0" w:color="auto"/>
                    <w:right w:val="none" w:sz="0" w:space="0" w:color="auto"/>
                  </w:divBdr>
                  <w:divsChild>
                    <w:div w:id="158542842">
                      <w:marLeft w:val="0"/>
                      <w:marRight w:val="0"/>
                      <w:marTop w:val="0"/>
                      <w:marBottom w:val="0"/>
                      <w:divBdr>
                        <w:top w:val="none" w:sz="0" w:space="0" w:color="auto"/>
                        <w:left w:val="none" w:sz="0" w:space="0" w:color="auto"/>
                        <w:bottom w:val="none" w:sz="0" w:space="0" w:color="auto"/>
                        <w:right w:val="none" w:sz="0" w:space="0" w:color="auto"/>
                      </w:divBdr>
                      <w:divsChild>
                        <w:div w:id="662661062">
                          <w:marLeft w:val="0"/>
                          <w:marRight w:val="0"/>
                          <w:marTop w:val="0"/>
                          <w:marBottom w:val="0"/>
                          <w:divBdr>
                            <w:top w:val="none" w:sz="0" w:space="0" w:color="auto"/>
                            <w:left w:val="none" w:sz="0" w:space="0" w:color="auto"/>
                            <w:bottom w:val="none" w:sz="0" w:space="0" w:color="auto"/>
                            <w:right w:val="none" w:sz="0" w:space="0" w:color="auto"/>
                          </w:divBdr>
                          <w:divsChild>
                            <w:div w:id="1318649974">
                              <w:marLeft w:val="0"/>
                              <w:marRight w:val="0"/>
                              <w:marTop w:val="0"/>
                              <w:marBottom w:val="0"/>
                              <w:divBdr>
                                <w:top w:val="none" w:sz="0" w:space="0" w:color="auto"/>
                                <w:left w:val="none" w:sz="0" w:space="0" w:color="auto"/>
                                <w:bottom w:val="none" w:sz="0" w:space="0" w:color="auto"/>
                                <w:right w:val="none" w:sz="0" w:space="0" w:color="auto"/>
                              </w:divBdr>
                            </w:div>
                          </w:divsChild>
                        </w:div>
                        <w:div w:id="1035429588">
                          <w:marLeft w:val="0"/>
                          <w:marRight w:val="0"/>
                          <w:marTop w:val="0"/>
                          <w:marBottom w:val="0"/>
                          <w:divBdr>
                            <w:top w:val="none" w:sz="0" w:space="0" w:color="auto"/>
                            <w:left w:val="none" w:sz="0" w:space="0" w:color="auto"/>
                            <w:bottom w:val="none" w:sz="0" w:space="0" w:color="auto"/>
                            <w:right w:val="none" w:sz="0" w:space="0" w:color="auto"/>
                          </w:divBdr>
                          <w:divsChild>
                            <w:div w:id="127764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09051">
          <w:marLeft w:val="0"/>
          <w:marRight w:val="0"/>
          <w:marTop w:val="0"/>
          <w:marBottom w:val="0"/>
          <w:divBdr>
            <w:top w:val="none" w:sz="0" w:space="0" w:color="auto"/>
            <w:left w:val="none" w:sz="0" w:space="0" w:color="auto"/>
            <w:bottom w:val="none" w:sz="0" w:space="0" w:color="auto"/>
            <w:right w:val="none" w:sz="0" w:space="0" w:color="auto"/>
          </w:divBdr>
          <w:divsChild>
            <w:div w:id="1518501121">
              <w:marLeft w:val="0"/>
              <w:marRight w:val="0"/>
              <w:marTop w:val="0"/>
              <w:marBottom w:val="0"/>
              <w:divBdr>
                <w:top w:val="none" w:sz="0" w:space="0" w:color="auto"/>
                <w:left w:val="none" w:sz="0" w:space="0" w:color="auto"/>
                <w:bottom w:val="none" w:sz="0" w:space="0" w:color="auto"/>
                <w:right w:val="none" w:sz="0" w:space="0" w:color="auto"/>
              </w:divBdr>
              <w:divsChild>
                <w:div w:id="248738790">
                  <w:marLeft w:val="0"/>
                  <w:marRight w:val="0"/>
                  <w:marTop w:val="0"/>
                  <w:marBottom w:val="0"/>
                  <w:divBdr>
                    <w:top w:val="none" w:sz="0" w:space="0" w:color="auto"/>
                    <w:left w:val="none" w:sz="0" w:space="0" w:color="auto"/>
                    <w:bottom w:val="none" w:sz="0" w:space="0" w:color="auto"/>
                    <w:right w:val="none" w:sz="0" w:space="0" w:color="auto"/>
                  </w:divBdr>
                  <w:divsChild>
                    <w:div w:id="379137196">
                      <w:marLeft w:val="0"/>
                      <w:marRight w:val="0"/>
                      <w:marTop w:val="0"/>
                      <w:marBottom w:val="0"/>
                      <w:divBdr>
                        <w:top w:val="none" w:sz="0" w:space="0" w:color="auto"/>
                        <w:left w:val="none" w:sz="0" w:space="0" w:color="auto"/>
                        <w:bottom w:val="none" w:sz="0" w:space="0" w:color="auto"/>
                        <w:right w:val="none" w:sz="0" w:space="0" w:color="auto"/>
                      </w:divBdr>
                      <w:divsChild>
                        <w:div w:id="1464081978">
                          <w:marLeft w:val="0"/>
                          <w:marRight w:val="0"/>
                          <w:marTop w:val="0"/>
                          <w:marBottom w:val="0"/>
                          <w:divBdr>
                            <w:top w:val="none" w:sz="0" w:space="0" w:color="auto"/>
                            <w:left w:val="none" w:sz="0" w:space="0" w:color="auto"/>
                            <w:bottom w:val="none" w:sz="0" w:space="0" w:color="auto"/>
                            <w:right w:val="none" w:sz="0" w:space="0" w:color="auto"/>
                          </w:divBdr>
                          <w:divsChild>
                            <w:div w:id="13092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604">
                      <w:marLeft w:val="0"/>
                      <w:marRight w:val="0"/>
                      <w:marTop w:val="0"/>
                      <w:marBottom w:val="0"/>
                      <w:divBdr>
                        <w:top w:val="none" w:sz="0" w:space="0" w:color="auto"/>
                        <w:left w:val="none" w:sz="0" w:space="0" w:color="auto"/>
                        <w:bottom w:val="none" w:sz="0" w:space="0" w:color="auto"/>
                        <w:right w:val="none" w:sz="0" w:space="0" w:color="auto"/>
                      </w:divBdr>
                      <w:divsChild>
                        <w:div w:id="1535340828">
                          <w:marLeft w:val="0"/>
                          <w:marRight w:val="0"/>
                          <w:marTop w:val="0"/>
                          <w:marBottom w:val="0"/>
                          <w:divBdr>
                            <w:top w:val="none" w:sz="0" w:space="0" w:color="auto"/>
                            <w:left w:val="none" w:sz="0" w:space="0" w:color="auto"/>
                            <w:bottom w:val="none" w:sz="0" w:space="0" w:color="auto"/>
                            <w:right w:val="none" w:sz="0" w:space="0" w:color="auto"/>
                          </w:divBdr>
                          <w:divsChild>
                            <w:div w:id="1084377903">
                              <w:marLeft w:val="0"/>
                              <w:marRight w:val="0"/>
                              <w:marTop w:val="0"/>
                              <w:marBottom w:val="0"/>
                              <w:divBdr>
                                <w:top w:val="none" w:sz="0" w:space="0" w:color="auto"/>
                                <w:left w:val="none" w:sz="0" w:space="0" w:color="auto"/>
                                <w:bottom w:val="none" w:sz="0" w:space="0" w:color="auto"/>
                                <w:right w:val="none" w:sz="0" w:space="0" w:color="auto"/>
                              </w:divBdr>
                              <w:divsChild>
                                <w:div w:id="14981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035139">
          <w:marLeft w:val="0"/>
          <w:marRight w:val="0"/>
          <w:marTop w:val="0"/>
          <w:marBottom w:val="0"/>
          <w:divBdr>
            <w:top w:val="none" w:sz="0" w:space="0" w:color="auto"/>
            <w:left w:val="none" w:sz="0" w:space="0" w:color="auto"/>
            <w:bottom w:val="none" w:sz="0" w:space="0" w:color="auto"/>
            <w:right w:val="none" w:sz="0" w:space="0" w:color="auto"/>
          </w:divBdr>
          <w:divsChild>
            <w:div w:id="624165447">
              <w:marLeft w:val="0"/>
              <w:marRight w:val="0"/>
              <w:marTop w:val="0"/>
              <w:marBottom w:val="0"/>
              <w:divBdr>
                <w:top w:val="none" w:sz="0" w:space="0" w:color="auto"/>
                <w:left w:val="none" w:sz="0" w:space="0" w:color="auto"/>
                <w:bottom w:val="none" w:sz="0" w:space="0" w:color="auto"/>
                <w:right w:val="none" w:sz="0" w:space="0" w:color="auto"/>
              </w:divBdr>
              <w:divsChild>
                <w:div w:id="137962443">
                  <w:marLeft w:val="0"/>
                  <w:marRight w:val="0"/>
                  <w:marTop w:val="0"/>
                  <w:marBottom w:val="0"/>
                  <w:divBdr>
                    <w:top w:val="none" w:sz="0" w:space="0" w:color="auto"/>
                    <w:left w:val="none" w:sz="0" w:space="0" w:color="auto"/>
                    <w:bottom w:val="none" w:sz="0" w:space="0" w:color="auto"/>
                    <w:right w:val="none" w:sz="0" w:space="0" w:color="auto"/>
                  </w:divBdr>
                  <w:divsChild>
                    <w:div w:id="605620608">
                      <w:marLeft w:val="0"/>
                      <w:marRight w:val="0"/>
                      <w:marTop w:val="0"/>
                      <w:marBottom w:val="0"/>
                      <w:divBdr>
                        <w:top w:val="none" w:sz="0" w:space="0" w:color="auto"/>
                        <w:left w:val="none" w:sz="0" w:space="0" w:color="auto"/>
                        <w:bottom w:val="none" w:sz="0" w:space="0" w:color="auto"/>
                        <w:right w:val="none" w:sz="0" w:space="0" w:color="auto"/>
                      </w:divBdr>
                      <w:divsChild>
                        <w:div w:id="687828959">
                          <w:marLeft w:val="0"/>
                          <w:marRight w:val="0"/>
                          <w:marTop w:val="0"/>
                          <w:marBottom w:val="0"/>
                          <w:divBdr>
                            <w:top w:val="none" w:sz="0" w:space="0" w:color="auto"/>
                            <w:left w:val="none" w:sz="0" w:space="0" w:color="auto"/>
                            <w:bottom w:val="none" w:sz="0" w:space="0" w:color="auto"/>
                            <w:right w:val="none" w:sz="0" w:space="0" w:color="auto"/>
                          </w:divBdr>
                          <w:divsChild>
                            <w:div w:id="1456412978">
                              <w:marLeft w:val="0"/>
                              <w:marRight w:val="0"/>
                              <w:marTop w:val="0"/>
                              <w:marBottom w:val="0"/>
                              <w:divBdr>
                                <w:top w:val="none" w:sz="0" w:space="0" w:color="auto"/>
                                <w:left w:val="none" w:sz="0" w:space="0" w:color="auto"/>
                                <w:bottom w:val="none" w:sz="0" w:space="0" w:color="auto"/>
                                <w:right w:val="none" w:sz="0" w:space="0" w:color="auto"/>
                              </w:divBdr>
                            </w:div>
                          </w:divsChild>
                        </w:div>
                        <w:div w:id="817647315">
                          <w:marLeft w:val="0"/>
                          <w:marRight w:val="0"/>
                          <w:marTop w:val="0"/>
                          <w:marBottom w:val="0"/>
                          <w:divBdr>
                            <w:top w:val="none" w:sz="0" w:space="0" w:color="auto"/>
                            <w:left w:val="none" w:sz="0" w:space="0" w:color="auto"/>
                            <w:bottom w:val="none" w:sz="0" w:space="0" w:color="auto"/>
                            <w:right w:val="none" w:sz="0" w:space="0" w:color="auto"/>
                          </w:divBdr>
                          <w:divsChild>
                            <w:div w:id="16032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925458">
          <w:marLeft w:val="0"/>
          <w:marRight w:val="0"/>
          <w:marTop w:val="0"/>
          <w:marBottom w:val="0"/>
          <w:divBdr>
            <w:top w:val="none" w:sz="0" w:space="0" w:color="auto"/>
            <w:left w:val="none" w:sz="0" w:space="0" w:color="auto"/>
            <w:bottom w:val="none" w:sz="0" w:space="0" w:color="auto"/>
            <w:right w:val="none" w:sz="0" w:space="0" w:color="auto"/>
          </w:divBdr>
          <w:divsChild>
            <w:div w:id="695303485">
              <w:marLeft w:val="0"/>
              <w:marRight w:val="0"/>
              <w:marTop w:val="0"/>
              <w:marBottom w:val="0"/>
              <w:divBdr>
                <w:top w:val="none" w:sz="0" w:space="0" w:color="auto"/>
                <w:left w:val="none" w:sz="0" w:space="0" w:color="auto"/>
                <w:bottom w:val="none" w:sz="0" w:space="0" w:color="auto"/>
                <w:right w:val="none" w:sz="0" w:space="0" w:color="auto"/>
              </w:divBdr>
              <w:divsChild>
                <w:div w:id="1287002255">
                  <w:marLeft w:val="0"/>
                  <w:marRight w:val="0"/>
                  <w:marTop w:val="0"/>
                  <w:marBottom w:val="0"/>
                  <w:divBdr>
                    <w:top w:val="none" w:sz="0" w:space="0" w:color="auto"/>
                    <w:left w:val="none" w:sz="0" w:space="0" w:color="auto"/>
                    <w:bottom w:val="none" w:sz="0" w:space="0" w:color="auto"/>
                    <w:right w:val="none" w:sz="0" w:space="0" w:color="auto"/>
                  </w:divBdr>
                  <w:divsChild>
                    <w:div w:id="335616461">
                      <w:marLeft w:val="0"/>
                      <w:marRight w:val="0"/>
                      <w:marTop w:val="0"/>
                      <w:marBottom w:val="0"/>
                      <w:divBdr>
                        <w:top w:val="none" w:sz="0" w:space="0" w:color="auto"/>
                        <w:left w:val="none" w:sz="0" w:space="0" w:color="auto"/>
                        <w:bottom w:val="none" w:sz="0" w:space="0" w:color="auto"/>
                        <w:right w:val="none" w:sz="0" w:space="0" w:color="auto"/>
                      </w:divBdr>
                      <w:divsChild>
                        <w:div w:id="985354636">
                          <w:marLeft w:val="0"/>
                          <w:marRight w:val="0"/>
                          <w:marTop w:val="0"/>
                          <w:marBottom w:val="0"/>
                          <w:divBdr>
                            <w:top w:val="none" w:sz="0" w:space="0" w:color="auto"/>
                            <w:left w:val="none" w:sz="0" w:space="0" w:color="auto"/>
                            <w:bottom w:val="none" w:sz="0" w:space="0" w:color="auto"/>
                            <w:right w:val="none" w:sz="0" w:space="0" w:color="auto"/>
                          </w:divBdr>
                          <w:divsChild>
                            <w:div w:id="175447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89386">
                      <w:marLeft w:val="0"/>
                      <w:marRight w:val="0"/>
                      <w:marTop w:val="0"/>
                      <w:marBottom w:val="0"/>
                      <w:divBdr>
                        <w:top w:val="none" w:sz="0" w:space="0" w:color="auto"/>
                        <w:left w:val="none" w:sz="0" w:space="0" w:color="auto"/>
                        <w:bottom w:val="none" w:sz="0" w:space="0" w:color="auto"/>
                        <w:right w:val="none" w:sz="0" w:space="0" w:color="auto"/>
                      </w:divBdr>
                      <w:divsChild>
                        <w:div w:id="1511064214">
                          <w:marLeft w:val="0"/>
                          <w:marRight w:val="0"/>
                          <w:marTop w:val="0"/>
                          <w:marBottom w:val="0"/>
                          <w:divBdr>
                            <w:top w:val="none" w:sz="0" w:space="0" w:color="auto"/>
                            <w:left w:val="none" w:sz="0" w:space="0" w:color="auto"/>
                            <w:bottom w:val="none" w:sz="0" w:space="0" w:color="auto"/>
                            <w:right w:val="none" w:sz="0" w:space="0" w:color="auto"/>
                          </w:divBdr>
                          <w:divsChild>
                            <w:div w:id="1111586473">
                              <w:marLeft w:val="0"/>
                              <w:marRight w:val="0"/>
                              <w:marTop w:val="0"/>
                              <w:marBottom w:val="0"/>
                              <w:divBdr>
                                <w:top w:val="none" w:sz="0" w:space="0" w:color="auto"/>
                                <w:left w:val="none" w:sz="0" w:space="0" w:color="auto"/>
                                <w:bottom w:val="none" w:sz="0" w:space="0" w:color="auto"/>
                                <w:right w:val="none" w:sz="0" w:space="0" w:color="auto"/>
                              </w:divBdr>
                              <w:divsChild>
                                <w:div w:id="15863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3473">
          <w:marLeft w:val="0"/>
          <w:marRight w:val="0"/>
          <w:marTop w:val="0"/>
          <w:marBottom w:val="0"/>
          <w:divBdr>
            <w:top w:val="none" w:sz="0" w:space="0" w:color="auto"/>
            <w:left w:val="none" w:sz="0" w:space="0" w:color="auto"/>
            <w:bottom w:val="none" w:sz="0" w:space="0" w:color="auto"/>
            <w:right w:val="none" w:sz="0" w:space="0" w:color="auto"/>
          </w:divBdr>
          <w:divsChild>
            <w:div w:id="626621537">
              <w:marLeft w:val="0"/>
              <w:marRight w:val="0"/>
              <w:marTop w:val="0"/>
              <w:marBottom w:val="0"/>
              <w:divBdr>
                <w:top w:val="none" w:sz="0" w:space="0" w:color="auto"/>
                <w:left w:val="none" w:sz="0" w:space="0" w:color="auto"/>
                <w:bottom w:val="none" w:sz="0" w:space="0" w:color="auto"/>
                <w:right w:val="none" w:sz="0" w:space="0" w:color="auto"/>
              </w:divBdr>
              <w:divsChild>
                <w:div w:id="176038648">
                  <w:marLeft w:val="0"/>
                  <w:marRight w:val="0"/>
                  <w:marTop w:val="0"/>
                  <w:marBottom w:val="0"/>
                  <w:divBdr>
                    <w:top w:val="none" w:sz="0" w:space="0" w:color="auto"/>
                    <w:left w:val="none" w:sz="0" w:space="0" w:color="auto"/>
                    <w:bottom w:val="none" w:sz="0" w:space="0" w:color="auto"/>
                    <w:right w:val="none" w:sz="0" w:space="0" w:color="auto"/>
                  </w:divBdr>
                  <w:divsChild>
                    <w:div w:id="703867247">
                      <w:marLeft w:val="0"/>
                      <w:marRight w:val="0"/>
                      <w:marTop w:val="0"/>
                      <w:marBottom w:val="0"/>
                      <w:divBdr>
                        <w:top w:val="none" w:sz="0" w:space="0" w:color="auto"/>
                        <w:left w:val="none" w:sz="0" w:space="0" w:color="auto"/>
                        <w:bottom w:val="none" w:sz="0" w:space="0" w:color="auto"/>
                        <w:right w:val="none" w:sz="0" w:space="0" w:color="auto"/>
                      </w:divBdr>
                      <w:divsChild>
                        <w:div w:id="518129777">
                          <w:marLeft w:val="0"/>
                          <w:marRight w:val="0"/>
                          <w:marTop w:val="0"/>
                          <w:marBottom w:val="0"/>
                          <w:divBdr>
                            <w:top w:val="none" w:sz="0" w:space="0" w:color="auto"/>
                            <w:left w:val="none" w:sz="0" w:space="0" w:color="auto"/>
                            <w:bottom w:val="none" w:sz="0" w:space="0" w:color="auto"/>
                            <w:right w:val="none" w:sz="0" w:space="0" w:color="auto"/>
                          </w:divBdr>
                          <w:divsChild>
                            <w:div w:id="2084642602">
                              <w:marLeft w:val="0"/>
                              <w:marRight w:val="0"/>
                              <w:marTop w:val="0"/>
                              <w:marBottom w:val="0"/>
                              <w:divBdr>
                                <w:top w:val="none" w:sz="0" w:space="0" w:color="auto"/>
                                <w:left w:val="none" w:sz="0" w:space="0" w:color="auto"/>
                                <w:bottom w:val="none" w:sz="0" w:space="0" w:color="auto"/>
                                <w:right w:val="none" w:sz="0" w:space="0" w:color="auto"/>
                              </w:divBdr>
                            </w:div>
                          </w:divsChild>
                        </w:div>
                        <w:div w:id="1682584294">
                          <w:marLeft w:val="0"/>
                          <w:marRight w:val="0"/>
                          <w:marTop w:val="0"/>
                          <w:marBottom w:val="0"/>
                          <w:divBdr>
                            <w:top w:val="none" w:sz="0" w:space="0" w:color="auto"/>
                            <w:left w:val="none" w:sz="0" w:space="0" w:color="auto"/>
                            <w:bottom w:val="none" w:sz="0" w:space="0" w:color="auto"/>
                            <w:right w:val="none" w:sz="0" w:space="0" w:color="auto"/>
                          </w:divBdr>
                          <w:divsChild>
                            <w:div w:id="15517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439742">
          <w:marLeft w:val="0"/>
          <w:marRight w:val="0"/>
          <w:marTop w:val="0"/>
          <w:marBottom w:val="0"/>
          <w:divBdr>
            <w:top w:val="none" w:sz="0" w:space="0" w:color="auto"/>
            <w:left w:val="none" w:sz="0" w:space="0" w:color="auto"/>
            <w:bottom w:val="none" w:sz="0" w:space="0" w:color="auto"/>
            <w:right w:val="none" w:sz="0" w:space="0" w:color="auto"/>
          </w:divBdr>
          <w:divsChild>
            <w:div w:id="610404558">
              <w:marLeft w:val="0"/>
              <w:marRight w:val="0"/>
              <w:marTop w:val="0"/>
              <w:marBottom w:val="0"/>
              <w:divBdr>
                <w:top w:val="none" w:sz="0" w:space="0" w:color="auto"/>
                <w:left w:val="none" w:sz="0" w:space="0" w:color="auto"/>
                <w:bottom w:val="none" w:sz="0" w:space="0" w:color="auto"/>
                <w:right w:val="none" w:sz="0" w:space="0" w:color="auto"/>
              </w:divBdr>
              <w:divsChild>
                <w:div w:id="810055059">
                  <w:marLeft w:val="0"/>
                  <w:marRight w:val="0"/>
                  <w:marTop w:val="0"/>
                  <w:marBottom w:val="0"/>
                  <w:divBdr>
                    <w:top w:val="none" w:sz="0" w:space="0" w:color="auto"/>
                    <w:left w:val="none" w:sz="0" w:space="0" w:color="auto"/>
                    <w:bottom w:val="none" w:sz="0" w:space="0" w:color="auto"/>
                    <w:right w:val="none" w:sz="0" w:space="0" w:color="auto"/>
                  </w:divBdr>
                  <w:divsChild>
                    <w:div w:id="459156074">
                      <w:marLeft w:val="0"/>
                      <w:marRight w:val="0"/>
                      <w:marTop w:val="0"/>
                      <w:marBottom w:val="0"/>
                      <w:divBdr>
                        <w:top w:val="none" w:sz="0" w:space="0" w:color="auto"/>
                        <w:left w:val="none" w:sz="0" w:space="0" w:color="auto"/>
                        <w:bottom w:val="none" w:sz="0" w:space="0" w:color="auto"/>
                        <w:right w:val="none" w:sz="0" w:space="0" w:color="auto"/>
                      </w:divBdr>
                      <w:divsChild>
                        <w:div w:id="411389201">
                          <w:marLeft w:val="0"/>
                          <w:marRight w:val="0"/>
                          <w:marTop w:val="0"/>
                          <w:marBottom w:val="0"/>
                          <w:divBdr>
                            <w:top w:val="none" w:sz="0" w:space="0" w:color="auto"/>
                            <w:left w:val="none" w:sz="0" w:space="0" w:color="auto"/>
                            <w:bottom w:val="none" w:sz="0" w:space="0" w:color="auto"/>
                            <w:right w:val="none" w:sz="0" w:space="0" w:color="auto"/>
                          </w:divBdr>
                          <w:divsChild>
                            <w:div w:id="84910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738927">
      <w:bodyDiv w:val="1"/>
      <w:marLeft w:val="0"/>
      <w:marRight w:val="0"/>
      <w:marTop w:val="0"/>
      <w:marBottom w:val="0"/>
      <w:divBdr>
        <w:top w:val="none" w:sz="0" w:space="0" w:color="auto"/>
        <w:left w:val="none" w:sz="0" w:space="0" w:color="auto"/>
        <w:bottom w:val="none" w:sz="0" w:space="0" w:color="auto"/>
        <w:right w:val="none" w:sz="0" w:space="0" w:color="auto"/>
      </w:divBdr>
      <w:divsChild>
        <w:div w:id="977763522">
          <w:marLeft w:val="0"/>
          <w:marRight w:val="0"/>
          <w:marTop w:val="0"/>
          <w:marBottom w:val="0"/>
          <w:divBdr>
            <w:top w:val="none" w:sz="0" w:space="0" w:color="auto"/>
            <w:left w:val="none" w:sz="0" w:space="0" w:color="auto"/>
            <w:bottom w:val="none" w:sz="0" w:space="0" w:color="auto"/>
            <w:right w:val="none" w:sz="0" w:space="0" w:color="auto"/>
          </w:divBdr>
          <w:divsChild>
            <w:div w:id="2087531408">
              <w:marLeft w:val="0"/>
              <w:marRight w:val="0"/>
              <w:marTop w:val="0"/>
              <w:marBottom w:val="0"/>
              <w:divBdr>
                <w:top w:val="none" w:sz="0" w:space="0" w:color="auto"/>
                <w:left w:val="none" w:sz="0" w:space="0" w:color="auto"/>
                <w:bottom w:val="none" w:sz="0" w:space="0" w:color="auto"/>
                <w:right w:val="none" w:sz="0" w:space="0" w:color="auto"/>
              </w:divBdr>
              <w:divsChild>
                <w:div w:id="139738990">
                  <w:marLeft w:val="0"/>
                  <w:marRight w:val="0"/>
                  <w:marTop w:val="0"/>
                  <w:marBottom w:val="0"/>
                  <w:divBdr>
                    <w:top w:val="none" w:sz="0" w:space="0" w:color="auto"/>
                    <w:left w:val="none" w:sz="0" w:space="0" w:color="auto"/>
                    <w:bottom w:val="none" w:sz="0" w:space="0" w:color="auto"/>
                    <w:right w:val="none" w:sz="0" w:space="0" w:color="auto"/>
                  </w:divBdr>
                  <w:divsChild>
                    <w:div w:id="1671759851">
                      <w:marLeft w:val="0"/>
                      <w:marRight w:val="0"/>
                      <w:marTop w:val="0"/>
                      <w:marBottom w:val="0"/>
                      <w:divBdr>
                        <w:top w:val="none" w:sz="0" w:space="0" w:color="auto"/>
                        <w:left w:val="none" w:sz="0" w:space="0" w:color="auto"/>
                        <w:bottom w:val="none" w:sz="0" w:space="0" w:color="auto"/>
                        <w:right w:val="none" w:sz="0" w:space="0" w:color="auto"/>
                      </w:divBdr>
                      <w:divsChild>
                        <w:div w:id="1677413874">
                          <w:marLeft w:val="0"/>
                          <w:marRight w:val="0"/>
                          <w:marTop w:val="0"/>
                          <w:marBottom w:val="0"/>
                          <w:divBdr>
                            <w:top w:val="none" w:sz="0" w:space="0" w:color="auto"/>
                            <w:left w:val="none" w:sz="0" w:space="0" w:color="auto"/>
                            <w:bottom w:val="none" w:sz="0" w:space="0" w:color="auto"/>
                            <w:right w:val="none" w:sz="0" w:space="0" w:color="auto"/>
                          </w:divBdr>
                          <w:divsChild>
                            <w:div w:id="114631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667154">
                      <w:marLeft w:val="0"/>
                      <w:marRight w:val="0"/>
                      <w:marTop w:val="0"/>
                      <w:marBottom w:val="0"/>
                      <w:divBdr>
                        <w:top w:val="none" w:sz="0" w:space="0" w:color="auto"/>
                        <w:left w:val="none" w:sz="0" w:space="0" w:color="auto"/>
                        <w:bottom w:val="none" w:sz="0" w:space="0" w:color="auto"/>
                        <w:right w:val="none" w:sz="0" w:space="0" w:color="auto"/>
                      </w:divBdr>
                      <w:divsChild>
                        <w:div w:id="1923643695">
                          <w:marLeft w:val="0"/>
                          <w:marRight w:val="0"/>
                          <w:marTop w:val="0"/>
                          <w:marBottom w:val="0"/>
                          <w:divBdr>
                            <w:top w:val="none" w:sz="0" w:space="0" w:color="auto"/>
                            <w:left w:val="none" w:sz="0" w:space="0" w:color="auto"/>
                            <w:bottom w:val="none" w:sz="0" w:space="0" w:color="auto"/>
                            <w:right w:val="none" w:sz="0" w:space="0" w:color="auto"/>
                          </w:divBdr>
                          <w:divsChild>
                            <w:div w:id="118305935">
                              <w:marLeft w:val="0"/>
                              <w:marRight w:val="0"/>
                              <w:marTop w:val="0"/>
                              <w:marBottom w:val="0"/>
                              <w:divBdr>
                                <w:top w:val="none" w:sz="0" w:space="0" w:color="auto"/>
                                <w:left w:val="none" w:sz="0" w:space="0" w:color="auto"/>
                                <w:bottom w:val="none" w:sz="0" w:space="0" w:color="auto"/>
                                <w:right w:val="none" w:sz="0" w:space="0" w:color="auto"/>
                              </w:divBdr>
                              <w:divsChild>
                                <w:div w:id="96615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699239">
          <w:marLeft w:val="0"/>
          <w:marRight w:val="0"/>
          <w:marTop w:val="0"/>
          <w:marBottom w:val="0"/>
          <w:divBdr>
            <w:top w:val="none" w:sz="0" w:space="0" w:color="auto"/>
            <w:left w:val="none" w:sz="0" w:space="0" w:color="auto"/>
            <w:bottom w:val="none" w:sz="0" w:space="0" w:color="auto"/>
            <w:right w:val="none" w:sz="0" w:space="0" w:color="auto"/>
          </w:divBdr>
          <w:divsChild>
            <w:div w:id="278417199">
              <w:marLeft w:val="0"/>
              <w:marRight w:val="0"/>
              <w:marTop w:val="0"/>
              <w:marBottom w:val="0"/>
              <w:divBdr>
                <w:top w:val="none" w:sz="0" w:space="0" w:color="auto"/>
                <w:left w:val="none" w:sz="0" w:space="0" w:color="auto"/>
                <w:bottom w:val="none" w:sz="0" w:space="0" w:color="auto"/>
                <w:right w:val="none" w:sz="0" w:space="0" w:color="auto"/>
              </w:divBdr>
              <w:divsChild>
                <w:div w:id="698970427">
                  <w:marLeft w:val="0"/>
                  <w:marRight w:val="0"/>
                  <w:marTop w:val="0"/>
                  <w:marBottom w:val="0"/>
                  <w:divBdr>
                    <w:top w:val="none" w:sz="0" w:space="0" w:color="auto"/>
                    <w:left w:val="none" w:sz="0" w:space="0" w:color="auto"/>
                    <w:bottom w:val="none" w:sz="0" w:space="0" w:color="auto"/>
                    <w:right w:val="none" w:sz="0" w:space="0" w:color="auto"/>
                  </w:divBdr>
                  <w:divsChild>
                    <w:div w:id="2104837683">
                      <w:marLeft w:val="0"/>
                      <w:marRight w:val="0"/>
                      <w:marTop w:val="0"/>
                      <w:marBottom w:val="0"/>
                      <w:divBdr>
                        <w:top w:val="none" w:sz="0" w:space="0" w:color="auto"/>
                        <w:left w:val="none" w:sz="0" w:space="0" w:color="auto"/>
                        <w:bottom w:val="none" w:sz="0" w:space="0" w:color="auto"/>
                        <w:right w:val="none" w:sz="0" w:space="0" w:color="auto"/>
                      </w:divBdr>
                      <w:divsChild>
                        <w:div w:id="1237593041">
                          <w:marLeft w:val="0"/>
                          <w:marRight w:val="0"/>
                          <w:marTop w:val="0"/>
                          <w:marBottom w:val="0"/>
                          <w:divBdr>
                            <w:top w:val="none" w:sz="0" w:space="0" w:color="auto"/>
                            <w:left w:val="none" w:sz="0" w:space="0" w:color="auto"/>
                            <w:bottom w:val="none" w:sz="0" w:space="0" w:color="auto"/>
                            <w:right w:val="none" w:sz="0" w:space="0" w:color="auto"/>
                          </w:divBdr>
                          <w:divsChild>
                            <w:div w:id="1248151946">
                              <w:marLeft w:val="0"/>
                              <w:marRight w:val="0"/>
                              <w:marTop w:val="0"/>
                              <w:marBottom w:val="0"/>
                              <w:divBdr>
                                <w:top w:val="none" w:sz="0" w:space="0" w:color="auto"/>
                                <w:left w:val="none" w:sz="0" w:space="0" w:color="auto"/>
                                <w:bottom w:val="none" w:sz="0" w:space="0" w:color="auto"/>
                                <w:right w:val="none" w:sz="0" w:space="0" w:color="auto"/>
                              </w:divBdr>
                            </w:div>
                          </w:divsChild>
                        </w:div>
                        <w:div w:id="1408723305">
                          <w:marLeft w:val="0"/>
                          <w:marRight w:val="0"/>
                          <w:marTop w:val="0"/>
                          <w:marBottom w:val="0"/>
                          <w:divBdr>
                            <w:top w:val="none" w:sz="0" w:space="0" w:color="auto"/>
                            <w:left w:val="none" w:sz="0" w:space="0" w:color="auto"/>
                            <w:bottom w:val="none" w:sz="0" w:space="0" w:color="auto"/>
                            <w:right w:val="none" w:sz="0" w:space="0" w:color="auto"/>
                          </w:divBdr>
                          <w:divsChild>
                            <w:div w:id="938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227445">
          <w:marLeft w:val="0"/>
          <w:marRight w:val="0"/>
          <w:marTop w:val="0"/>
          <w:marBottom w:val="0"/>
          <w:divBdr>
            <w:top w:val="none" w:sz="0" w:space="0" w:color="auto"/>
            <w:left w:val="none" w:sz="0" w:space="0" w:color="auto"/>
            <w:bottom w:val="none" w:sz="0" w:space="0" w:color="auto"/>
            <w:right w:val="none" w:sz="0" w:space="0" w:color="auto"/>
          </w:divBdr>
          <w:divsChild>
            <w:div w:id="614093095">
              <w:marLeft w:val="0"/>
              <w:marRight w:val="0"/>
              <w:marTop w:val="0"/>
              <w:marBottom w:val="0"/>
              <w:divBdr>
                <w:top w:val="none" w:sz="0" w:space="0" w:color="auto"/>
                <w:left w:val="none" w:sz="0" w:space="0" w:color="auto"/>
                <w:bottom w:val="none" w:sz="0" w:space="0" w:color="auto"/>
                <w:right w:val="none" w:sz="0" w:space="0" w:color="auto"/>
              </w:divBdr>
              <w:divsChild>
                <w:div w:id="61029681">
                  <w:marLeft w:val="0"/>
                  <w:marRight w:val="0"/>
                  <w:marTop w:val="0"/>
                  <w:marBottom w:val="0"/>
                  <w:divBdr>
                    <w:top w:val="none" w:sz="0" w:space="0" w:color="auto"/>
                    <w:left w:val="none" w:sz="0" w:space="0" w:color="auto"/>
                    <w:bottom w:val="none" w:sz="0" w:space="0" w:color="auto"/>
                    <w:right w:val="none" w:sz="0" w:space="0" w:color="auto"/>
                  </w:divBdr>
                  <w:divsChild>
                    <w:div w:id="1226911241">
                      <w:marLeft w:val="0"/>
                      <w:marRight w:val="0"/>
                      <w:marTop w:val="0"/>
                      <w:marBottom w:val="0"/>
                      <w:divBdr>
                        <w:top w:val="none" w:sz="0" w:space="0" w:color="auto"/>
                        <w:left w:val="none" w:sz="0" w:space="0" w:color="auto"/>
                        <w:bottom w:val="none" w:sz="0" w:space="0" w:color="auto"/>
                        <w:right w:val="none" w:sz="0" w:space="0" w:color="auto"/>
                      </w:divBdr>
                      <w:divsChild>
                        <w:div w:id="203908111">
                          <w:marLeft w:val="0"/>
                          <w:marRight w:val="0"/>
                          <w:marTop w:val="0"/>
                          <w:marBottom w:val="0"/>
                          <w:divBdr>
                            <w:top w:val="none" w:sz="0" w:space="0" w:color="auto"/>
                            <w:left w:val="none" w:sz="0" w:space="0" w:color="auto"/>
                            <w:bottom w:val="none" w:sz="0" w:space="0" w:color="auto"/>
                            <w:right w:val="none" w:sz="0" w:space="0" w:color="auto"/>
                          </w:divBdr>
                          <w:divsChild>
                            <w:div w:id="57416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6140">
                      <w:marLeft w:val="0"/>
                      <w:marRight w:val="0"/>
                      <w:marTop w:val="0"/>
                      <w:marBottom w:val="0"/>
                      <w:divBdr>
                        <w:top w:val="none" w:sz="0" w:space="0" w:color="auto"/>
                        <w:left w:val="none" w:sz="0" w:space="0" w:color="auto"/>
                        <w:bottom w:val="none" w:sz="0" w:space="0" w:color="auto"/>
                        <w:right w:val="none" w:sz="0" w:space="0" w:color="auto"/>
                      </w:divBdr>
                      <w:divsChild>
                        <w:div w:id="1495074413">
                          <w:marLeft w:val="0"/>
                          <w:marRight w:val="0"/>
                          <w:marTop w:val="0"/>
                          <w:marBottom w:val="0"/>
                          <w:divBdr>
                            <w:top w:val="none" w:sz="0" w:space="0" w:color="auto"/>
                            <w:left w:val="none" w:sz="0" w:space="0" w:color="auto"/>
                            <w:bottom w:val="none" w:sz="0" w:space="0" w:color="auto"/>
                            <w:right w:val="none" w:sz="0" w:space="0" w:color="auto"/>
                          </w:divBdr>
                          <w:divsChild>
                            <w:div w:id="1063139297">
                              <w:marLeft w:val="0"/>
                              <w:marRight w:val="0"/>
                              <w:marTop w:val="0"/>
                              <w:marBottom w:val="0"/>
                              <w:divBdr>
                                <w:top w:val="none" w:sz="0" w:space="0" w:color="auto"/>
                                <w:left w:val="none" w:sz="0" w:space="0" w:color="auto"/>
                                <w:bottom w:val="none" w:sz="0" w:space="0" w:color="auto"/>
                                <w:right w:val="none" w:sz="0" w:space="0" w:color="auto"/>
                              </w:divBdr>
                              <w:divsChild>
                                <w:div w:id="30343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54661">
          <w:marLeft w:val="0"/>
          <w:marRight w:val="0"/>
          <w:marTop w:val="0"/>
          <w:marBottom w:val="0"/>
          <w:divBdr>
            <w:top w:val="none" w:sz="0" w:space="0" w:color="auto"/>
            <w:left w:val="none" w:sz="0" w:space="0" w:color="auto"/>
            <w:bottom w:val="none" w:sz="0" w:space="0" w:color="auto"/>
            <w:right w:val="none" w:sz="0" w:space="0" w:color="auto"/>
          </w:divBdr>
          <w:divsChild>
            <w:div w:id="140581779">
              <w:marLeft w:val="0"/>
              <w:marRight w:val="0"/>
              <w:marTop w:val="0"/>
              <w:marBottom w:val="0"/>
              <w:divBdr>
                <w:top w:val="none" w:sz="0" w:space="0" w:color="auto"/>
                <w:left w:val="none" w:sz="0" w:space="0" w:color="auto"/>
                <w:bottom w:val="none" w:sz="0" w:space="0" w:color="auto"/>
                <w:right w:val="none" w:sz="0" w:space="0" w:color="auto"/>
              </w:divBdr>
              <w:divsChild>
                <w:div w:id="1432242258">
                  <w:marLeft w:val="0"/>
                  <w:marRight w:val="0"/>
                  <w:marTop w:val="0"/>
                  <w:marBottom w:val="0"/>
                  <w:divBdr>
                    <w:top w:val="none" w:sz="0" w:space="0" w:color="auto"/>
                    <w:left w:val="none" w:sz="0" w:space="0" w:color="auto"/>
                    <w:bottom w:val="none" w:sz="0" w:space="0" w:color="auto"/>
                    <w:right w:val="none" w:sz="0" w:space="0" w:color="auto"/>
                  </w:divBdr>
                  <w:divsChild>
                    <w:div w:id="1787039610">
                      <w:marLeft w:val="0"/>
                      <w:marRight w:val="0"/>
                      <w:marTop w:val="0"/>
                      <w:marBottom w:val="0"/>
                      <w:divBdr>
                        <w:top w:val="none" w:sz="0" w:space="0" w:color="auto"/>
                        <w:left w:val="none" w:sz="0" w:space="0" w:color="auto"/>
                        <w:bottom w:val="none" w:sz="0" w:space="0" w:color="auto"/>
                        <w:right w:val="none" w:sz="0" w:space="0" w:color="auto"/>
                      </w:divBdr>
                      <w:divsChild>
                        <w:div w:id="1159156257">
                          <w:marLeft w:val="0"/>
                          <w:marRight w:val="0"/>
                          <w:marTop w:val="0"/>
                          <w:marBottom w:val="0"/>
                          <w:divBdr>
                            <w:top w:val="none" w:sz="0" w:space="0" w:color="auto"/>
                            <w:left w:val="none" w:sz="0" w:space="0" w:color="auto"/>
                            <w:bottom w:val="none" w:sz="0" w:space="0" w:color="auto"/>
                            <w:right w:val="none" w:sz="0" w:space="0" w:color="auto"/>
                          </w:divBdr>
                          <w:divsChild>
                            <w:div w:id="1934822739">
                              <w:marLeft w:val="0"/>
                              <w:marRight w:val="0"/>
                              <w:marTop w:val="0"/>
                              <w:marBottom w:val="0"/>
                              <w:divBdr>
                                <w:top w:val="none" w:sz="0" w:space="0" w:color="auto"/>
                                <w:left w:val="none" w:sz="0" w:space="0" w:color="auto"/>
                                <w:bottom w:val="none" w:sz="0" w:space="0" w:color="auto"/>
                                <w:right w:val="none" w:sz="0" w:space="0" w:color="auto"/>
                              </w:divBdr>
                            </w:div>
                          </w:divsChild>
                        </w:div>
                        <w:div w:id="1052264259">
                          <w:marLeft w:val="0"/>
                          <w:marRight w:val="0"/>
                          <w:marTop w:val="0"/>
                          <w:marBottom w:val="0"/>
                          <w:divBdr>
                            <w:top w:val="none" w:sz="0" w:space="0" w:color="auto"/>
                            <w:left w:val="none" w:sz="0" w:space="0" w:color="auto"/>
                            <w:bottom w:val="none" w:sz="0" w:space="0" w:color="auto"/>
                            <w:right w:val="none" w:sz="0" w:space="0" w:color="auto"/>
                          </w:divBdr>
                          <w:divsChild>
                            <w:div w:id="14505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480752">
          <w:marLeft w:val="0"/>
          <w:marRight w:val="0"/>
          <w:marTop w:val="0"/>
          <w:marBottom w:val="0"/>
          <w:divBdr>
            <w:top w:val="none" w:sz="0" w:space="0" w:color="auto"/>
            <w:left w:val="none" w:sz="0" w:space="0" w:color="auto"/>
            <w:bottom w:val="none" w:sz="0" w:space="0" w:color="auto"/>
            <w:right w:val="none" w:sz="0" w:space="0" w:color="auto"/>
          </w:divBdr>
          <w:divsChild>
            <w:div w:id="2145928031">
              <w:marLeft w:val="0"/>
              <w:marRight w:val="0"/>
              <w:marTop w:val="0"/>
              <w:marBottom w:val="0"/>
              <w:divBdr>
                <w:top w:val="none" w:sz="0" w:space="0" w:color="auto"/>
                <w:left w:val="none" w:sz="0" w:space="0" w:color="auto"/>
                <w:bottom w:val="none" w:sz="0" w:space="0" w:color="auto"/>
                <w:right w:val="none" w:sz="0" w:space="0" w:color="auto"/>
              </w:divBdr>
              <w:divsChild>
                <w:div w:id="1702827606">
                  <w:marLeft w:val="0"/>
                  <w:marRight w:val="0"/>
                  <w:marTop w:val="0"/>
                  <w:marBottom w:val="0"/>
                  <w:divBdr>
                    <w:top w:val="none" w:sz="0" w:space="0" w:color="auto"/>
                    <w:left w:val="none" w:sz="0" w:space="0" w:color="auto"/>
                    <w:bottom w:val="none" w:sz="0" w:space="0" w:color="auto"/>
                    <w:right w:val="none" w:sz="0" w:space="0" w:color="auto"/>
                  </w:divBdr>
                  <w:divsChild>
                    <w:div w:id="264113400">
                      <w:marLeft w:val="0"/>
                      <w:marRight w:val="0"/>
                      <w:marTop w:val="0"/>
                      <w:marBottom w:val="0"/>
                      <w:divBdr>
                        <w:top w:val="none" w:sz="0" w:space="0" w:color="auto"/>
                        <w:left w:val="none" w:sz="0" w:space="0" w:color="auto"/>
                        <w:bottom w:val="none" w:sz="0" w:space="0" w:color="auto"/>
                        <w:right w:val="none" w:sz="0" w:space="0" w:color="auto"/>
                      </w:divBdr>
                      <w:divsChild>
                        <w:div w:id="1182088794">
                          <w:marLeft w:val="0"/>
                          <w:marRight w:val="0"/>
                          <w:marTop w:val="0"/>
                          <w:marBottom w:val="0"/>
                          <w:divBdr>
                            <w:top w:val="none" w:sz="0" w:space="0" w:color="auto"/>
                            <w:left w:val="none" w:sz="0" w:space="0" w:color="auto"/>
                            <w:bottom w:val="none" w:sz="0" w:space="0" w:color="auto"/>
                            <w:right w:val="none" w:sz="0" w:space="0" w:color="auto"/>
                          </w:divBdr>
                          <w:divsChild>
                            <w:div w:id="20852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07081">
                      <w:marLeft w:val="0"/>
                      <w:marRight w:val="0"/>
                      <w:marTop w:val="0"/>
                      <w:marBottom w:val="0"/>
                      <w:divBdr>
                        <w:top w:val="none" w:sz="0" w:space="0" w:color="auto"/>
                        <w:left w:val="none" w:sz="0" w:space="0" w:color="auto"/>
                        <w:bottom w:val="none" w:sz="0" w:space="0" w:color="auto"/>
                        <w:right w:val="none" w:sz="0" w:space="0" w:color="auto"/>
                      </w:divBdr>
                      <w:divsChild>
                        <w:div w:id="1254895816">
                          <w:marLeft w:val="0"/>
                          <w:marRight w:val="0"/>
                          <w:marTop w:val="0"/>
                          <w:marBottom w:val="0"/>
                          <w:divBdr>
                            <w:top w:val="none" w:sz="0" w:space="0" w:color="auto"/>
                            <w:left w:val="none" w:sz="0" w:space="0" w:color="auto"/>
                            <w:bottom w:val="none" w:sz="0" w:space="0" w:color="auto"/>
                            <w:right w:val="none" w:sz="0" w:space="0" w:color="auto"/>
                          </w:divBdr>
                          <w:divsChild>
                            <w:div w:id="1927495693">
                              <w:marLeft w:val="0"/>
                              <w:marRight w:val="0"/>
                              <w:marTop w:val="0"/>
                              <w:marBottom w:val="0"/>
                              <w:divBdr>
                                <w:top w:val="none" w:sz="0" w:space="0" w:color="auto"/>
                                <w:left w:val="none" w:sz="0" w:space="0" w:color="auto"/>
                                <w:bottom w:val="none" w:sz="0" w:space="0" w:color="auto"/>
                                <w:right w:val="none" w:sz="0" w:space="0" w:color="auto"/>
                              </w:divBdr>
                              <w:divsChild>
                                <w:div w:id="42149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924193">
          <w:marLeft w:val="0"/>
          <w:marRight w:val="0"/>
          <w:marTop w:val="0"/>
          <w:marBottom w:val="0"/>
          <w:divBdr>
            <w:top w:val="none" w:sz="0" w:space="0" w:color="auto"/>
            <w:left w:val="none" w:sz="0" w:space="0" w:color="auto"/>
            <w:bottom w:val="none" w:sz="0" w:space="0" w:color="auto"/>
            <w:right w:val="none" w:sz="0" w:space="0" w:color="auto"/>
          </w:divBdr>
          <w:divsChild>
            <w:div w:id="1844396579">
              <w:marLeft w:val="0"/>
              <w:marRight w:val="0"/>
              <w:marTop w:val="0"/>
              <w:marBottom w:val="0"/>
              <w:divBdr>
                <w:top w:val="none" w:sz="0" w:space="0" w:color="auto"/>
                <w:left w:val="none" w:sz="0" w:space="0" w:color="auto"/>
                <w:bottom w:val="none" w:sz="0" w:space="0" w:color="auto"/>
                <w:right w:val="none" w:sz="0" w:space="0" w:color="auto"/>
              </w:divBdr>
              <w:divsChild>
                <w:div w:id="816848517">
                  <w:marLeft w:val="0"/>
                  <w:marRight w:val="0"/>
                  <w:marTop w:val="0"/>
                  <w:marBottom w:val="0"/>
                  <w:divBdr>
                    <w:top w:val="none" w:sz="0" w:space="0" w:color="auto"/>
                    <w:left w:val="none" w:sz="0" w:space="0" w:color="auto"/>
                    <w:bottom w:val="none" w:sz="0" w:space="0" w:color="auto"/>
                    <w:right w:val="none" w:sz="0" w:space="0" w:color="auto"/>
                  </w:divBdr>
                  <w:divsChild>
                    <w:div w:id="1578829976">
                      <w:marLeft w:val="0"/>
                      <w:marRight w:val="0"/>
                      <w:marTop w:val="0"/>
                      <w:marBottom w:val="0"/>
                      <w:divBdr>
                        <w:top w:val="none" w:sz="0" w:space="0" w:color="auto"/>
                        <w:left w:val="none" w:sz="0" w:space="0" w:color="auto"/>
                        <w:bottom w:val="none" w:sz="0" w:space="0" w:color="auto"/>
                        <w:right w:val="none" w:sz="0" w:space="0" w:color="auto"/>
                      </w:divBdr>
                      <w:divsChild>
                        <w:div w:id="173031691">
                          <w:marLeft w:val="0"/>
                          <w:marRight w:val="0"/>
                          <w:marTop w:val="0"/>
                          <w:marBottom w:val="0"/>
                          <w:divBdr>
                            <w:top w:val="none" w:sz="0" w:space="0" w:color="auto"/>
                            <w:left w:val="none" w:sz="0" w:space="0" w:color="auto"/>
                            <w:bottom w:val="none" w:sz="0" w:space="0" w:color="auto"/>
                            <w:right w:val="none" w:sz="0" w:space="0" w:color="auto"/>
                          </w:divBdr>
                          <w:divsChild>
                            <w:div w:id="953748694">
                              <w:marLeft w:val="0"/>
                              <w:marRight w:val="0"/>
                              <w:marTop w:val="0"/>
                              <w:marBottom w:val="0"/>
                              <w:divBdr>
                                <w:top w:val="none" w:sz="0" w:space="0" w:color="auto"/>
                                <w:left w:val="none" w:sz="0" w:space="0" w:color="auto"/>
                                <w:bottom w:val="none" w:sz="0" w:space="0" w:color="auto"/>
                                <w:right w:val="none" w:sz="0" w:space="0" w:color="auto"/>
                              </w:divBdr>
                            </w:div>
                          </w:divsChild>
                        </w:div>
                        <w:div w:id="38631795">
                          <w:marLeft w:val="0"/>
                          <w:marRight w:val="0"/>
                          <w:marTop w:val="0"/>
                          <w:marBottom w:val="0"/>
                          <w:divBdr>
                            <w:top w:val="none" w:sz="0" w:space="0" w:color="auto"/>
                            <w:left w:val="none" w:sz="0" w:space="0" w:color="auto"/>
                            <w:bottom w:val="none" w:sz="0" w:space="0" w:color="auto"/>
                            <w:right w:val="none" w:sz="0" w:space="0" w:color="auto"/>
                          </w:divBdr>
                          <w:divsChild>
                            <w:div w:id="15062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959797">
          <w:marLeft w:val="0"/>
          <w:marRight w:val="0"/>
          <w:marTop w:val="0"/>
          <w:marBottom w:val="0"/>
          <w:divBdr>
            <w:top w:val="none" w:sz="0" w:space="0" w:color="auto"/>
            <w:left w:val="none" w:sz="0" w:space="0" w:color="auto"/>
            <w:bottom w:val="none" w:sz="0" w:space="0" w:color="auto"/>
            <w:right w:val="none" w:sz="0" w:space="0" w:color="auto"/>
          </w:divBdr>
          <w:divsChild>
            <w:div w:id="899440196">
              <w:marLeft w:val="0"/>
              <w:marRight w:val="0"/>
              <w:marTop w:val="0"/>
              <w:marBottom w:val="0"/>
              <w:divBdr>
                <w:top w:val="none" w:sz="0" w:space="0" w:color="auto"/>
                <w:left w:val="none" w:sz="0" w:space="0" w:color="auto"/>
                <w:bottom w:val="none" w:sz="0" w:space="0" w:color="auto"/>
                <w:right w:val="none" w:sz="0" w:space="0" w:color="auto"/>
              </w:divBdr>
              <w:divsChild>
                <w:div w:id="514003490">
                  <w:marLeft w:val="0"/>
                  <w:marRight w:val="0"/>
                  <w:marTop w:val="0"/>
                  <w:marBottom w:val="0"/>
                  <w:divBdr>
                    <w:top w:val="none" w:sz="0" w:space="0" w:color="auto"/>
                    <w:left w:val="none" w:sz="0" w:space="0" w:color="auto"/>
                    <w:bottom w:val="none" w:sz="0" w:space="0" w:color="auto"/>
                    <w:right w:val="none" w:sz="0" w:space="0" w:color="auto"/>
                  </w:divBdr>
                  <w:divsChild>
                    <w:div w:id="1311132338">
                      <w:marLeft w:val="0"/>
                      <w:marRight w:val="0"/>
                      <w:marTop w:val="0"/>
                      <w:marBottom w:val="0"/>
                      <w:divBdr>
                        <w:top w:val="none" w:sz="0" w:space="0" w:color="auto"/>
                        <w:left w:val="none" w:sz="0" w:space="0" w:color="auto"/>
                        <w:bottom w:val="none" w:sz="0" w:space="0" w:color="auto"/>
                        <w:right w:val="none" w:sz="0" w:space="0" w:color="auto"/>
                      </w:divBdr>
                      <w:divsChild>
                        <w:div w:id="1175026498">
                          <w:marLeft w:val="0"/>
                          <w:marRight w:val="0"/>
                          <w:marTop w:val="0"/>
                          <w:marBottom w:val="0"/>
                          <w:divBdr>
                            <w:top w:val="none" w:sz="0" w:space="0" w:color="auto"/>
                            <w:left w:val="none" w:sz="0" w:space="0" w:color="auto"/>
                            <w:bottom w:val="none" w:sz="0" w:space="0" w:color="auto"/>
                            <w:right w:val="none" w:sz="0" w:space="0" w:color="auto"/>
                          </w:divBdr>
                          <w:divsChild>
                            <w:div w:id="1651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67514">
      <w:bodyDiv w:val="1"/>
      <w:marLeft w:val="0"/>
      <w:marRight w:val="0"/>
      <w:marTop w:val="0"/>
      <w:marBottom w:val="0"/>
      <w:divBdr>
        <w:top w:val="none" w:sz="0" w:space="0" w:color="auto"/>
        <w:left w:val="none" w:sz="0" w:space="0" w:color="auto"/>
        <w:bottom w:val="none" w:sz="0" w:space="0" w:color="auto"/>
        <w:right w:val="none" w:sz="0" w:space="0" w:color="auto"/>
      </w:divBdr>
      <w:divsChild>
        <w:div w:id="513422355">
          <w:marLeft w:val="0"/>
          <w:marRight w:val="0"/>
          <w:marTop w:val="0"/>
          <w:marBottom w:val="0"/>
          <w:divBdr>
            <w:top w:val="none" w:sz="0" w:space="0" w:color="auto"/>
            <w:left w:val="none" w:sz="0" w:space="0" w:color="auto"/>
            <w:bottom w:val="none" w:sz="0" w:space="0" w:color="auto"/>
            <w:right w:val="none" w:sz="0" w:space="0" w:color="auto"/>
          </w:divBdr>
          <w:divsChild>
            <w:div w:id="548954950">
              <w:marLeft w:val="0"/>
              <w:marRight w:val="0"/>
              <w:marTop w:val="0"/>
              <w:marBottom w:val="0"/>
              <w:divBdr>
                <w:top w:val="none" w:sz="0" w:space="0" w:color="auto"/>
                <w:left w:val="none" w:sz="0" w:space="0" w:color="auto"/>
                <w:bottom w:val="none" w:sz="0" w:space="0" w:color="auto"/>
                <w:right w:val="none" w:sz="0" w:space="0" w:color="auto"/>
              </w:divBdr>
              <w:divsChild>
                <w:div w:id="16155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5626">
          <w:marLeft w:val="0"/>
          <w:marRight w:val="0"/>
          <w:marTop w:val="0"/>
          <w:marBottom w:val="0"/>
          <w:divBdr>
            <w:top w:val="none" w:sz="0" w:space="0" w:color="auto"/>
            <w:left w:val="none" w:sz="0" w:space="0" w:color="auto"/>
            <w:bottom w:val="none" w:sz="0" w:space="0" w:color="auto"/>
            <w:right w:val="none" w:sz="0" w:space="0" w:color="auto"/>
          </w:divBdr>
          <w:divsChild>
            <w:div w:id="1025594203">
              <w:marLeft w:val="0"/>
              <w:marRight w:val="0"/>
              <w:marTop w:val="0"/>
              <w:marBottom w:val="0"/>
              <w:divBdr>
                <w:top w:val="none" w:sz="0" w:space="0" w:color="auto"/>
                <w:left w:val="none" w:sz="0" w:space="0" w:color="auto"/>
                <w:bottom w:val="none" w:sz="0" w:space="0" w:color="auto"/>
                <w:right w:val="none" w:sz="0" w:space="0" w:color="auto"/>
              </w:divBdr>
              <w:divsChild>
                <w:div w:id="132227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864052">
          <w:marLeft w:val="0"/>
          <w:marRight w:val="0"/>
          <w:marTop w:val="0"/>
          <w:marBottom w:val="0"/>
          <w:divBdr>
            <w:top w:val="none" w:sz="0" w:space="0" w:color="auto"/>
            <w:left w:val="none" w:sz="0" w:space="0" w:color="auto"/>
            <w:bottom w:val="none" w:sz="0" w:space="0" w:color="auto"/>
            <w:right w:val="none" w:sz="0" w:space="0" w:color="auto"/>
          </w:divBdr>
          <w:divsChild>
            <w:div w:id="1716348586">
              <w:marLeft w:val="0"/>
              <w:marRight w:val="0"/>
              <w:marTop w:val="0"/>
              <w:marBottom w:val="0"/>
              <w:divBdr>
                <w:top w:val="none" w:sz="0" w:space="0" w:color="auto"/>
                <w:left w:val="none" w:sz="0" w:space="0" w:color="auto"/>
                <w:bottom w:val="none" w:sz="0" w:space="0" w:color="auto"/>
                <w:right w:val="none" w:sz="0" w:space="0" w:color="auto"/>
              </w:divBdr>
              <w:divsChild>
                <w:div w:id="1480876278">
                  <w:marLeft w:val="0"/>
                  <w:marRight w:val="0"/>
                  <w:marTop w:val="0"/>
                  <w:marBottom w:val="0"/>
                  <w:divBdr>
                    <w:top w:val="none" w:sz="0" w:space="0" w:color="auto"/>
                    <w:left w:val="none" w:sz="0" w:space="0" w:color="auto"/>
                    <w:bottom w:val="none" w:sz="0" w:space="0" w:color="auto"/>
                    <w:right w:val="none" w:sz="0" w:space="0" w:color="auto"/>
                  </w:divBdr>
                  <w:divsChild>
                    <w:div w:id="1036082538">
                      <w:marLeft w:val="0"/>
                      <w:marRight w:val="0"/>
                      <w:marTop w:val="0"/>
                      <w:marBottom w:val="0"/>
                      <w:divBdr>
                        <w:top w:val="none" w:sz="0" w:space="0" w:color="auto"/>
                        <w:left w:val="none" w:sz="0" w:space="0" w:color="auto"/>
                        <w:bottom w:val="none" w:sz="0" w:space="0" w:color="auto"/>
                        <w:right w:val="none" w:sz="0" w:space="0" w:color="auto"/>
                      </w:divBdr>
                      <w:divsChild>
                        <w:div w:id="328607805">
                          <w:marLeft w:val="0"/>
                          <w:marRight w:val="0"/>
                          <w:marTop w:val="0"/>
                          <w:marBottom w:val="0"/>
                          <w:divBdr>
                            <w:top w:val="none" w:sz="0" w:space="0" w:color="auto"/>
                            <w:left w:val="none" w:sz="0" w:space="0" w:color="auto"/>
                            <w:bottom w:val="none" w:sz="0" w:space="0" w:color="auto"/>
                            <w:right w:val="none" w:sz="0" w:space="0" w:color="auto"/>
                          </w:divBdr>
                          <w:divsChild>
                            <w:div w:id="1092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2105/AJPH.92.10.1582" TargetMode="External"/><Relationship Id="rId21" Type="http://schemas.openxmlformats.org/officeDocument/2006/relationships/hyperlink" Target="https://doi.org/10.1158/1940-6207.CAPR-08-0160" TargetMode="External"/><Relationship Id="rId42" Type="http://schemas.openxmlformats.org/officeDocument/2006/relationships/hyperlink" Target="https://doi.org/10.2165/11317010-000000000-00000" TargetMode="External"/><Relationship Id="rId63" Type="http://schemas.openxmlformats.org/officeDocument/2006/relationships/hyperlink" Target="https://doi.org/10.1186/s12951-018-0392-8" TargetMode="External"/><Relationship Id="rId84" Type="http://schemas.openxmlformats.org/officeDocument/2006/relationships/hyperlink" Target="https://doi.org/10.1186/1475-9276-12-86" TargetMode="External"/><Relationship Id="rId138" Type="http://schemas.openxmlformats.org/officeDocument/2006/relationships/hyperlink" Target="https://doi.org/10.1001/archinte.162.2.133" TargetMode="External"/><Relationship Id="rId159" Type="http://schemas.openxmlformats.org/officeDocument/2006/relationships/hyperlink" Target="https://doi.org/10.1016/j.explore.2009.06.008" TargetMode="External"/><Relationship Id="rId170" Type="http://schemas.openxmlformats.org/officeDocument/2006/relationships/hyperlink" Target="https://doi.org/10.1016/j.healthpol.2008.09.003" TargetMode="External"/><Relationship Id="rId191" Type="http://schemas.openxmlformats.org/officeDocument/2006/relationships/hyperlink" Target="https://doi.org/10.1080/09064710.2019.1606930" TargetMode="External"/><Relationship Id="rId196" Type="http://schemas.openxmlformats.org/officeDocument/2006/relationships/hyperlink" Target="https://doi.org/10.1016/j.plaphy.2013.10.023" TargetMode="External"/><Relationship Id="rId200" Type="http://schemas.openxmlformats.org/officeDocument/2006/relationships/fontTable" Target="fontTable.xml"/><Relationship Id="rId16" Type="http://schemas.openxmlformats.org/officeDocument/2006/relationships/hyperlink" Target="https://doi.org/10.1211/0022357056127" TargetMode="External"/><Relationship Id="rId107" Type="http://schemas.openxmlformats.org/officeDocument/2006/relationships/hyperlink" Target="https://doi.org/10.1002/14651858.CD005460.pub3" TargetMode="External"/><Relationship Id="rId11" Type="http://schemas.openxmlformats.org/officeDocument/2006/relationships/hyperlink" Target="https://doi.org/10.1186/1746-4269-3-14" TargetMode="External"/><Relationship Id="rId32" Type="http://schemas.openxmlformats.org/officeDocument/2006/relationships/hyperlink" Target="https://doi.org/10.3389/fphar.2013.00177" TargetMode="External"/><Relationship Id="rId37" Type="http://schemas.openxmlformats.org/officeDocument/2006/relationships/hyperlink" Target="https://doi.org/10.1016/j.plgene.2015.10.002" TargetMode="External"/><Relationship Id="rId53" Type="http://schemas.openxmlformats.org/officeDocument/2006/relationships/hyperlink" Target="https://doi.org/10.4103/0973-7847.70902" TargetMode="External"/><Relationship Id="rId58" Type="http://schemas.openxmlformats.org/officeDocument/2006/relationships/hyperlink" Target="https://doi.org/10.1039/C4RA13315C" TargetMode="External"/><Relationship Id="rId74" Type="http://schemas.openxmlformats.org/officeDocument/2006/relationships/hyperlink" Target="https://doi.org/10.1016/j.phytochem.2006.10.008" TargetMode="External"/><Relationship Id="rId79" Type="http://schemas.openxmlformats.org/officeDocument/2006/relationships/hyperlink" Target="https://doi.org/10.1093/jncimonographs/lgx012" TargetMode="External"/><Relationship Id="rId102" Type="http://schemas.openxmlformats.org/officeDocument/2006/relationships/hyperlink" Target="https://doi.org/10.1111/j.1547-5069.2008.00220.x" TargetMode="External"/><Relationship Id="rId123" Type="http://schemas.openxmlformats.org/officeDocument/2006/relationships/hyperlink" Target="https://doi.org/10.1146/annurev.anthro.29.1.599" TargetMode="External"/><Relationship Id="rId128" Type="http://schemas.openxmlformats.org/officeDocument/2006/relationships/hyperlink" Target="https://doi.org/10.1525/maq.2007.21.2.169" TargetMode="External"/><Relationship Id="rId144" Type="http://schemas.openxmlformats.org/officeDocument/2006/relationships/hyperlink" Target="https://doi.org/10.1097/PTS.0b013e3181d37503" TargetMode="External"/><Relationship Id="rId149" Type="http://schemas.openxmlformats.org/officeDocument/2006/relationships/hyperlink" Target="https://doi.org/10.1016/j.socscimed.2005.06.030" TargetMode="External"/><Relationship Id="rId5" Type="http://schemas.openxmlformats.org/officeDocument/2006/relationships/webSettings" Target="webSettings.xml"/><Relationship Id="rId90" Type="http://schemas.openxmlformats.org/officeDocument/2006/relationships/hyperlink" Target="https://doi.org/10.1097/RHU.0b013e3182a21cdd" TargetMode="External"/><Relationship Id="rId95" Type="http://schemas.openxmlformats.org/officeDocument/2006/relationships/hyperlink" Target="https://doi.org/10.1080/10398560902948563" TargetMode="External"/><Relationship Id="rId160" Type="http://schemas.openxmlformats.org/officeDocument/2006/relationships/hyperlink" Target="https://doi.org/10.1016/S0277-9536(00)00098-8" TargetMode="External"/><Relationship Id="rId165" Type="http://schemas.openxmlformats.org/officeDocument/2006/relationships/hyperlink" Target="https://doi.org/10.1093/geront/42.suppl_3.24" TargetMode="External"/><Relationship Id="rId181" Type="http://schemas.openxmlformats.org/officeDocument/2006/relationships/hyperlink" Target="https://doi.org/10.1126/sciadv.aat2340" TargetMode="External"/><Relationship Id="rId186" Type="http://schemas.openxmlformats.org/officeDocument/2006/relationships/hyperlink" Target="https://doi.org/10.1126/science.1246752" TargetMode="External"/><Relationship Id="rId22" Type="http://schemas.openxmlformats.org/officeDocument/2006/relationships/hyperlink" Target="https://doi.org/10.1371/journal.pone.0248479" TargetMode="External"/><Relationship Id="rId27" Type="http://schemas.openxmlformats.org/officeDocument/2006/relationships/hyperlink" Target="https://doi.org/10.1128/CMR.12.4.564" TargetMode="External"/><Relationship Id="rId43" Type="http://schemas.openxmlformats.org/officeDocument/2006/relationships/hyperlink" Target="https://doi.org/10.1016/j.tifs.2005.08.006" TargetMode="External"/><Relationship Id="rId48" Type="http://schemas.openxmlformats.org/officeDocument/2006/relationships/hyperlink" Target="https://doi.org/10.1038/nprot.2009.237" TargetMode="External"/><Relationship Id="rId64" Type="http://schemas.openxmlformats.org/officeDocument/2006/relationships/hyperlink" Target="https://doi.org/10.1021/jm500734a" TargetMode="External"/><Relationship Id="rId69" Type="http://schemas.openxmlformats.org/officeDocument/2006/relationships/hyperlink" Target="https://doi.org/10.1016/S1473-3099(07)70160-3" TargetMode="External"/><Relationship Id="rId113" Type="http://schemas.openxmlformats.org/officeDocument/2006/relationships/hyperlink" Target="https://doi.org/10.1186/s13002-019-0345-1" TargetMode="External"/><Relationship Id="rId118" Type="http://schemas.openxmlformats.org/officeDocument/2006/relationships/hyperlink" Target="https://doi.org/10.1073/pnas.1821843116" TargetMode="External"/><Relationship Id="rId134" Type="http://schemas.openxmlformats.org/officeDocument/2006/relationships/hyperlink" Target="https://doi.org/10.1007/s13280-014-0501-3" TargetMode="External"/><Relationship Id="rId139" Type="http://schemas.openxmlformats.org/officeDocument/2006/relationships/hyperlink" Target="https://doi.org/10.1038/npp.2010.81" TargetMode="External"/><Relationship Id="rId80" Type="http://schemas.openxmlformats.org/officeDocument/2006/relationships/hyperlink" Target="https://doi.org/10.1016/j.chroma.2014.10.091" TargetMode="External"/><Relationship Id="rId85" Type="http://schemas.openxmlformats.org/officeDocument/2006/relationships/hyperlink" Target="https://doi.org/10.1007/s10900-015-0149-4" TargetMode="External"/><Relationship Id="rId150" Type="http://schemas.openxmlformats.org/officeDocument/2006/relationships/hyperlink" Target="https://doi.org/10.5172/hesr.2010.19.1.034" TargetMode="External"/><Relationship Id="rId155" Type="http://schemas.openxmlformats.org/officeDocument/2006/relationships/hyperlink" Target="https://doi.org/10.1016/S0140-6736(09)60827-8" TargetMode="External"/><Relationship Id="rId171" Type="http://schemas.openxmlformats.org/officeDocument/2006/relationships/hyperlink" Target="https://doi.org/10.1080/10398560701701288" TargetMode="External"/><Relationship Id="rId176" Type="http://schemas.openxmlformats.org/officeDocument/2006/relationships/hyperlink" Target="https://doi.org/10.1038/s41893-018-0100-6" TargetMode="External"/><Relationship Id="rId192" Type="http://schemas.openxmlformats.org/officeDocument/2006/relationships/hyperlink" Target="https://doi.org/10.1038/s41586-018-0005-6" TargetMode="External"/><Relationship Id="rId197" Type="http://schemas.openxmlformats.org/officeDocument/2006/relationships/hyperlink" Target="https://doi.org/10.1093/aob/mcl169" TargetMode="External"/><Relationship Id="rId201" Type="http://schemas.openxmlformats.org/officeDocument/2006/relationships/theme" Target="theme/theme1.xml"/><Relationship Id="rId12" Type="http://schemas.openxmlformats.org/officeDocument/2006/relationships/hyperlink" Target="https://doi.org/10.1155/2016/7382506" TargetMode="External"/><Relationship Id="rId17" Type="http://schemas.openxmlformats.org/officeDocument/2006/relationships/hyperlink" Target="https://doi.org/10.1016/j.jpha.2013.12.001" TargetMode="External"/><Relationship Id="rId33" Type="http://schemas.openxmlformats.org/officeDocument/2006/relationships/hyperlink" Target="https://doi.org/10.1007/s00228-001-0400-y" TargetMode="External"/><Relationship Id="rId38" Type="http://schemas.openxmlformats.org/officeDocument/2006/relationships/hyperlink" Target="https://doi.org/10.1016/j.jep.2006.12.031" TargetMode="External"/><Relationship Id="rId59" Type="http://schemas.openxmlformats.org/officeDocument/2006/relationships/hyperlink" Target="https://doi.org/10.1016/j.talanta.2005.06.035" TargetMode="External"/><Relationship Id="rId103" Type="http://schemas.openxmlformats.org/officeDocument/2006/relationships/hyperlink" Target="https://doi.org/10.1016/j.midw.2019.04.009" TargetMode="External"/><Relationship Id="rId108" Type="http://schemas.openxmlformats.org/officeDocument/2006/relationships/hyperlink" Target="https://doi.org/10.2471/BLT.07.042820" TargetMode="External"/><Relationship Id="rId124" Type="http://schemas.openxmlformats.org/officeDocument/2006/relationships/hyperlink" Target="https://doi.org/10.1016/j.socscimed.2010.02.001" TargetMode="External"/><Relationship Id="rId129" Type="http://schemas.openxmlformats.org/officeDocument/2006/relationships/hyperlink" Target="https://doi.org/10.1016/j.ijedudev.2009.11.007" TargetMode="External"/><Relationship Id="rId54" Type="http://schemas.openxmlformats.org/officeDocument/2006/relationships/hyperlink" Target="https://doi.org/10.1016/j.explore.2009.06.008" TargetMode="External"/><Relationship Id="rId70" Type="http://schemas.openxmlformats.org/officeDocument/2006/relationships/hyperlink" Target="https://doi.org/10.2471/BLT.07.042820" TargetMode="External"/><Relationship Id="rId75" Type="http://schemas.openxmlformats.org/officeDocument/2006/relationships/hyperlink" Target="https://doi.org/10.1016/j.phymed.2008.12.018" TargetMode="External"/><Relationship Id="rId91" Type="http://schemas.openxmlformats.org/officeDocument/2006/relationships/hyperlink" Target="https://doi.org/10.3389/fphar.2013.00177" TargetMode="External"/><Relationship Id="rId96" Type="http://schemas.openxmlformats.org/officeDocument/2006/relationships/hyperlink" Target="https://doi.org/10.5172/hesr.2010.19.1.034" TargetMode="External"/><Relationship Id="rId140" Type="http://schemas.openxmlformats.org/officeDocument/2006/relationships/hyperlink" Target="https://doi.org/10.1093/phr/118.4.293" TargetMode="External"/><Relationship Id="rId145" Type="http://schemas.openxmlformats.org/officeDocument/2006/relationships/hyperlink" Target="https://doi.org/10.1126/science.847460" TargetMode="External"/><Relationship Id="rId161" Type="http://schemas.openxmlformats.org/officeDocument/2006/relationships/hyperlink" Target="https://doi.org/10.1089/107555302317371487" TargetMode="External"/><Relationship Id="rId166" Type="http://schemas.openxmlformats.org/officeDocument/2006/relationships/hyperlink" Target="https://doi.org/10.1016/j.ctim.2005.05.001" TargetMode="External"/><Relationship Id="rId182" Type="http://schemas.openxmlformats.org/officeDocument/2006/relationships/hyperlink" Target="https://doi.org/10.1021/acs.jnatprod.9b01285" TargetMode="External"/><Relationship Id="rId187" Type="http://schemas.openxmlformats.org/officeDocument/2006/relationships/hyperlink" Target="https://doi.org/10.4161/psb.6.11.17613"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s://doi.org/10.1002/cbic.200300749" TargetMode="External"/><Relationship Id="rId28" Type="http://schemas.openxmlformats.org/officeDocument/2006/relationships/hyperlink" Target="https://doi.org/10.1159/000443404" TargetMode="External"/><Relationship Id="rId49" Type="http://schemas.openxmlformats.org/officeDocument/2006/relationships/hyperlink" Target="https://doi.org/10.4172/2167-0412.1000130" TargetMode="External"/><Relationship Id="rId114" Type="http://schemas.openxmlformats.org/officeDocument/2006/relationships/hyperlink" Target="https://doi.org/10.1371/journal.pone.0195440" TargetMode="External"/><Relationship Id="rId119" Type="http://schemas.openxmlformats.org/officeDocument/2006/relationships/hyperlink" Target="https://doi.org/10.1111/j.1523-1739.2009.01401.x" TargetMode="External"/><Relationship Id="rId44" Type="http://schemas.openxmlformats.org/officeDocument/2006/relationships/hyperlink" Target="https://doi.org/10.1038/nrc1317" TargetMode="External"/><Relationship Id="rId60" Type="http://schemas.openxmlformats.org/officeDocument/2006/relationships/hyperlink" Target="https://doi.org/10.3390/nu8020078" TargetMode="External"/><Relationship Id="rId65" Type="http://schemas.openxmlformats.org/officeDocument/2006/relationships/hyperlink" Target="https://doi.org/10.4103/0973-7847.95849" TargetMode="External"/><Relationship Id="rId81" Type="http://schemas.openxmlformats.org/officeDocument/2006/relationships/hyperlink" Target="https://doi.org/10.1016/j.foodchem.2005.05.049" TargetMode="External"/><Relationship Id="rId86" Type="http://schemas.openxmlformats.org/officeDocument/2006/relationships/hyperlink" Target="https://doi.org/10.1055/s-0034-1383049" TargetMode="External"/><Relationship Id="rId130" Type="http://schemas.openxmlformats.org/officeDocument/2006/relationships/hyperlink" Target="https://doi.org/10.1016/j.evolhumbehav.2013.03.002" TargetMode="External"/><Relationship Id="rId135" Type="http://schemas.openxmlformats.org/officeDocument/2006/relationships/hyperlink" Target="https://doi.org/10.1086/420908" TargetMode="External"/><Relationship Id="rId151" Type="http://schemas.openxmlformats.org/officeDocument/2006/relationships/hyperlink" Target="https://doi.org/10.1016/S0895-4356(00)00347-4" TargetMode="External"/><Relationship Id="rId156" Type="http://schemas.openxmlformats.org/officeDocument/2006/relationships/hyperlink" Target="https://doi.org/10.1097/00001888-200406000-00006" TargetMode="External"/><Relationship Id="rId177" Type="http://schemas.openxmlformats.org/officeDocument/2006/relationships/hyperlink" Target="https://doi.org/10.1016/j.tree.2014.12.005" TargetMode="External"/><Relationship Id="rId198" Type="http://schemas.openxmlformats.org/officeDocument/2006/relationships/header" Target="header1.xml"/><Relationship Id="rId172" Type="http://schemas.openxmlformats.org/officeDocument/2006/relationships/hyperlink" Target="https://doi.org/10.1016/j.futures.2008.07.003" TargetMode="External"/><Relationship Id="rId193" Type="http://schemas.openxmlformats.org/officeDocument/2006/relationships/hyperlink" Target="https://doi.org/10.1371/journal.pone.0057103" TargetMode="External"/><Relationship Id="rId13" Type="http://schemas.openxmlformats.org/officeDocument/2006/relationships/hyperlink" Target="https://doi.org/10.1055/a-1041-3406" TargetMode="External"/><Relationship Id="rId18" Type="http://schemas.openxmlformats.org/officeDocument/2006/relationships/hyperlink" Target="https://doi.org/10.1078/094471103321648692" TargetMode="External"/><Relationship Id="rId39" Type="http://schemas.openxmlformats.org/officeDocument/2006/relationships/hyperlink" Target="https://doi.org/10.1001/archinte.163.6.699" TargetMode="External"/><Relationship Id="rId109" Type="http://schemas.openxmlformats.org/officeDocument/2006/relationships/hyperlink" Target="https://doi.org/10.5172/jamh.3.3.103" TargetMode="External"/><Relationship Id="rId34" Type="http://schemas.openxmlformats.org/officeDocument/2006/relationships/hyperlink" Target="https://doi.org/10.1086/600136" TargetMode="External"/><Relationship Id="rId50" Type="http://schemas.openxmlformats.org/officeDocument/2006/relationships/hyperlink" Target="https://doi.org/10.1016/bs.afnr.2015.07.002" TargetMode="External"/><Relationship Id="rId55" Type="http://schemas.openxmlformats.org/officeDocument/2006/relationships/hyperlink" Target="https://doi.org/10.4103/0973-7847.156353" TargetMode="External"/><Relationship Id="rId76" Type="http://schemas.openxmlformats.org/officeDocument/2006/relationships/hyperlink" Target="https://doi.org/10.1091/mbc.E14-04-0916" TargetMode="External"/><Relationship Id="rId97" Type="http://schemas.openxmlformats.org/officeDocument/2006/relationships/hyperlink" Target="https://doi.org/10.1111/inm.12223" TargetMode="External"/><Relationship Id="rId104" Type="http://schemas.openxmlformats.org/officeDocument/2006/relationships/hyperlink" Target="https://www.ayush.gov.in" TargetMode="External"/><Relationship Id="rId120" Type="http://schemas.openxmlformats.org/officeDocument/2006/relationships/hyperlink" Target="https://doi.org/10.1023/B:BIOC.0000021333.23413.42" TargetMode="External"/><Relationship Id="rId125" Type="http://schemas.openxmlformats.org/officeDocument/2006/relationships/hyperlink" Target="https://doi.org/10.1038/sj.embor.7400693" TargetMode="External"/><Relationship Id="rId141" Type="http://schemas.openxmlformats.org/officeDocument/2006/relationships/hyperlink" Target="https://doi.org/10.2105/AJPH.92.10.1582" TargetMode="External"/><Relationship Id="rId146" Type="http://schemas.openxmlformats.org/officeDocument/2006/relationships/hyperlink" Target="https://doi.org/10.1093/ecam/neh138" TargetMode="External"/><Relationship Id="rId167" Type="http://schemas.openxmlformats.org/officeDocument/2006/relationships/hyperlink" Target="https://doi.org/10.1001/archinternmed.2012.3654" TargetMode="External"/><Relationship Id="rId188" Type="http://schemas.openxmlformats.org/officeDocument/2006/relationships/hyperlink" Target="https://doi.org/10.1016/j.wsif.2013.03.011" TargetMode="External"/><Relationship Id="rId7" Type="http://schemas.openxmlformats.org/officeDocument/2006/relationships/endnotes" Target="endnotes.xml"/><Relationship Id="rId71" Type="http://schemas.openxmlformats.org/officeDocument/2006/relationships/hyperlink" Target="https://doi.org/10.1038/nm.2471" TargetMode="External"/><Relationship Id="rId92" Type="http://schemas.openxmlformats.org/officeDocument/2006/relationships/hyperlink" Target="https://doi.org/10.1289/ehp.01109s169" TargetMode="External"/><Relationship Id="rId162" Type="http://schemas.openxmlformats.org/officeDocument/2006/relationships/hyperlink" Target="https://doi.org/10.1016/j.psyneuen.2017.08.008" TargetMode="External"/><Relationship Id="rId183" Type="http://schemas.openxmlformats.org/officeDocument/2006/relationships/hyperlink" Target="https://doi.org/10.1111/j.1365-2486.2007.01404.x" TargetMode="External"/><Relationship Id="rId2" Type="http://schemas.openxmlformats.org/officeDocument/2006/relationships/styles" Target="styles.xml"/><Relationship Id="rId29" Type="http://schemas.openxmlformats.org/officeDocument/2006/relationships/hyperlink" Target="https://doi.org/10.1016/j.ijantimicag.2011.02.014" TargetMode="External"/><Relationship Id="rId24" Type="http://schemas.openxmlformats.org/officeDocument/2006/relationships/hyperlink" Target="https://doi.org/10.1089/107555303321223035" TargetMode="External"/><Relationship Id="rId40" Type="http://schemas.openxmlformats.org/officeDocument/2006/relationships/hyperlink" Target="https://doi.org/10.3390/molecules26071836" TargetMode="External"/><Relationship Id="rId45" Type="http://schemas.openxmlformats.org/officeDocument/2006/relationships/hyperlink" Target="https://doi.org/10.1186/s13020-020-00371-w" TargetMode="External"/><Relationship Id="rId66" Type="http://schemas.openxmlformats.org/officeDocument/2006/relationships/hyperlink" Target="https://doi.org/10.1021/cb300648v" TargetMode="External"/><Relationship Id="rId87" Type="http://schemas.openxmlformats.org/officeDocument/2006/relationships/hyperlink" Target="https://www.aihw.gov.au/suicide-self-harm-monitoring" TargetMode="External"/><Relationship Id="rId110" Type="http://schemas.openxmlformats.org/officeDocument/2006/relationships/hyperlink" Target="https://www.who.int/publications/almaata_declaration_en.pdf" TargetMode="External"/><Relationship Id="rId115" Type="http://schemas.openxmlformats.org/officeDocument/2006/relationships/hyperlink" Target="https://doi.org/10.1038/s41573-020-00114-z" TargetMode="External"/><Relationship Id="rId131" Type="http://schemas.openxmlformats.org/officeDocument/2006/relationships/hyperlink" Target="https://doi.org/10.1002/wcc.374" TargetMode="External"/><Relationship Id="rId136" Type="http://schemas.openxmlformats.org/officeDocument/2006/relationships/hyperlink" Target="https://doi.org/10.1371/journal.pmed.0030208" TargetMode="External"/><Relationship Id="rId157" Type="http://schemas.openxmlformats.org/officeDocument/2006/relationships/hyperlink" Target="https://doi.org/10.1016/0002-9343(89)90293-3" TargetMode="External"/><Relationship Id="rId178" Type="http://schemas.openxmlformats.org/officeDocument/2006/relationships/hyperlink" Target="https://doi.org/10.1371/journal.pone.0228305" TargetMode="External"/><Relationship Id="rId61" Type="http://schemas.openxmlformats.org/officeDocument/2006/relationships/hyperlink" Target="https://doi.org/10.1017/jns.2016.41" TargetMode="External"/><Relationship Id="rId82" Type="http://schemas.openxmlformats.org/officeDocument/2006/relationships/hyperlink" Target="https://www.who.int/publications/i/item/9789240040496" TargetMode="External"/><Relationship Id="rId152" Type="http://schemas.openxmlformats.org/officeDocument/2006/relationships/hyperlink" Target="https://doi.org/10.1097/00001888-200503000-00016" TargetMode="External"/><Relationship Id="rId173" Type="http://schemas.openxmlformats.org/officeDocument/2006/relationships/hyperlink" Target="https://doi.org/10.1126/science.1206432" TargetMode="External"/><Relationship Id="rId194" Type="http://schemas.openxmlformats.org/officeDocument/2006/relationships/hyperlink" Target="https://doi.org/10.1007/s10457-011-9445-2" TargetMode="External"/><Relationship Id="rId199" Type="http://schemas.openxmlformats.org/officeDocument/2006/relationships/footer" Target="footer1.xml"/><Relationship Id="rId19" Type="http://schemas.openxmlformats.org/officeDocument/2006/relationships/hyperlink" Target="https://doi.org/10.1074/jbc.M110.114793" TargetMode="External"/><Relationship Id="rId14" Type="http://schemas.openxmlformats.org/officeDocument/2006/relationships/hyperlink" Target="https://doi.org/10.1016/j.biotechadv.2015.08.001" TargetMode="External"/><Relationship Id="rId30" Type="http://schemas.openxmlformats.org/officeDocument/2006/relationships/hyperlink" Target="https://doi.org/10.3390/molecules15107313" TargetMode="External"/><Relationship Id="rId35" Type="http://schemas.openxmlformats.org/officeDocument/2006/relationships/hyperlink" Target="https://doi.org/10.3390/molecules15053135" TargetMode="External"/><Relationship Id="rId56" Type="http://schemas.openxmlformats.org/officeDocument/2006/relationships/hyperlink" Target="https://doi.org/10.1021/acs.jnatprod.5b01055" TargetMode="External"/><Relationship Id="rId77" Type="http://schemas.openxmlformats.org/officeDocument/2006/relationships/hyperlink" Target="https://doi.org/10.1080/10408690490468489" TargetMode="External"/><Relationship Id="rId100" Type="http://schemas.openxmlformats.org/officeDocument/2006/relationships/hyperlink" Target="https://doi.org/10.1016/j.explore.2009.06.008" TargetMode="External"/><Relationship Id="rId105" Type="http://schemas.openxmlformats.org/officeDocument/2006/relationships/hyperlink" Target="https://doi.org/10.1016/j.jep.2005.09.024" TargetMode="External"/><Relationship Id="rId126" Type="http://schemas.openxmlformats.org/officeDocument/2006/relationships/hyperlink" Target="https://doi.org/10.1007/s10745-005-9004-y" TargetMode="External"/><Relationship Id="rId147" Type="http://schemas.openxmlformats.org/officeDocument/2006/relationships/hyperlink" Target="https://doi.org/10.1146/annurev-clinpsy-032511-143127" TargetMode="External"/><Relationship Id="rId168" Type="http://schemas.openxmlformats.org/officeDocument/2006/relationships/hyperlink" Target="https://doi.org/10.1016/j.phymed.2008.12.018" TargetMode="External"/><Relationship Id="rId8" Type="http://schemas.openxmlformats.org/officeDocument/2006/relationships/hyperlink" Target="https://doi.org/10.1016/j.biocel.2008.06.010" TargetMode="External"/><Relationship Id="rId51" Type="http://schemas.openxmlformats.org/officeDocument/2006/relationships/hyperlink" Target="https://doi.org/10.4103/0973-7847.156337" TargetMode="External"/><Relationship Id="rId72" Type="http://schemas.openxmlformats.org/officeDocument/2006/relationships/hyperlink" Target="https://doi.org/10.2174/0929867043455846" TargetMode="External"/><Relationship Id="rId93" Type="http://schemas.openxmlformats.org/officeDocument/2006/relationships/hyperlink" Target="https://doi.org/10.2471/BLT.08.057794" TargetMode="External"/><Relationship Id="rId98" Type="http://schemas.openxmlformats.org/officeDocument/2006/relationships/hyperlink" Target="https://doi.org/10.1016/j.jtcme.2016.02.002" TargetMode="External"/><Relationship Id="rId121" Type="http://schemas.openxmlformats.org/officeDocument/2006/relationships/hyperlink" Target="https://doi.org/10.1016/j.jep.2011.01.017" TargetMode="External"/><Relationship Id="rId142" Type="http://schemas.openxmlformats.org/officeDocument/2006/relationships/hyperlink" Target="https://doi.org/10.2105/AJPH.2004.053371" TargetMode="External"/><Relationship Id="rId163" Type="http://schemas.openxmlformats.org/officeDocument/2006/relationships/hyperlink" Target="https://doi.org/10.1136/bmj.312.7023.71" TargetMode="External"/><Relationship Id="rId184" Type="http://schemas.openxmlformats.org/officeDocument/2006/relationships/hyperlink" Target="https://doi.org/10.1093/aob/mcv169" TargetMode="External"/><Relationship Id="rId189" Type="http://schemas.openxmlformats.org/officeDocument/2006/relationships/hyperlink" Target="https://doi.org/10.1016/j.evolhumbehav.2013.03.002" TargetMode="External"/><Relationship Id="rId3" Type="http://schemas.microsoft.com/office/2007/relationships/stylesWithEffects" Target="stylesWithEffects.xml"/><Relationship Id="rId25" Type="http://schemas.openxmlformats.org/officeDocument/2006/relationships/hyperlink" Target="https://doi.org/10.4081/mr.2017.7272" TargetMode="External"/><Relationship Id="rId46" Type="http://schemas.openxmlformats.org/officeDocument/2006/relationships/hyperlink" Target="https://doi.org/10.1016/j.ymben.2012.01.004" TargetMode="External"/><Relationship Id="rId67" Type="http://schemas.openxmlformats.org/officeDocument/2006/relationships/hyperlink" Target="https://doi.org/10.1021/jf0502698" TargetMode="External"/><Relationship Id="rId116" Type="http://schemas.openxmlformats.org/officeDocument/2006/relationships/hyperlink" Target="https://doi.org/10.1007/s10745-020-00188-w" TargetMode="External"/><Relationship Id="rId137" Type="http://schemas.openxmlformats.org/officeDocument/2006/relationships/hyperlink" Target="https://doi.org/10.1093/heapro/11.1.11" TargetMode="External"/><Relationship Id="rId158" Type="http://schemas.openxmlformats.org/officeDocument/2006/relationships/hyperlink" Target="https://doi.org/10.1002/14651858.CD003937.pub3" TargetMode="External"/><Relationship Id="rId20" Type="http://schemas.openxmlformats.org/officeDocument/2006/relationships/hyperlink" Target="https://doi.org/10.1021/jf020063e" TargetMode="External"/><Relationship Id="rId41" Type="http://schemas.openxmlformats.org/officeDocument/2006/relationships/hyperlink" Target="https://doi.org/10.3390/foods6100092" TargetMode="External"/><Relationship Id="rId62" Type="http://schemas.openxmlformats.org/officeDocument/2006/relationships/hyperlink" Target="https://doi.org/10.3390/ph3010188" TargetMode="External"/><Relationship Id="rId83" Type="http://schemas.openxmlformats.org/officeDocument/2006/relationships/hyperlink" Target="https://doi.org/10.4314/ajtcam.v8i5S.5" TargetMode="External"/><Relationship Id="rId88" Type="http://schemas.openxmlformats.org/officeDocument/2006/relationships/hyperlink" Target="https://doi.org/10.1191/1478088706qp063oa" TargetMode="External"/><Relationship Id="rId111" Type="http://schemas.openxmlformats.org/officeDocument/2006/relationships/hyperlink" Target="https://www.who.int/publications/i/item/9789241516341" TargetMode="External"/><Relationship Id="rId132" Type="http://schemas.openxmlformats.org/officeDocument/2006/relationships/hyperlink" Target="https://doi.org/10.1016/j.jep.2009.02.035" TargetMode="External"/><Relationship Id="rId153" Type="http://schemas.openxmlformats.org/officeDocument/2006/relationships/hyperlink" Target="https://doi.org/10.1371/journal.pone.0094207" TargetMode="External"/><Relationship Id="rId174" Type="http://schemas.openxmlformats.org/officeDocument/2006/relationships/hyperlink" Target="https://doi.org/10.1126/science.1162547" TargetMode="External"/><Relationship Id="rId179" Type="http://schemas.openxmlformats.org/officeDocument/2006/relationships/hyperlink" Target="https://doi.org/10.1086/417659" TargetMode="External"/><Relationship Id="rId195" Type="http://schemas.openxmlformats.org/officeDocument/2006/relationships/hyperlink" Target="https://doi.org/10.1007/s10531-013-0503-2" TargetMode="External"/><Relationship Id="rId190" Type="http://schemas.openxmlformats.org/officeDocument/2006/relationships/hyperlink" Target="https://doi.org/10.1016/j.indcrop.2012.06.020" TargetMode="External"/><Relationship Id="rId15" Type="http://schemas.openxmlformats.org/officeDocument/2006/relationships/hyperlink" Target="https://doi.org/10.1126/science.aac9997" TargetMode="External"/><Relationship Id="rId36" Type="http://schemas.openxmlformats.org/officeDocument/2006/relationships/hyperlink" Target="https://doi.org/10.1186/1471-2288-7-7" TargetMode="External"/><Relationship Id="rId57" Type="http://schemas.openxmlformats.org/officeDocument/2006/relationships/hyperlink" Target="https://doi.org/10.1021/acs.jnatprod.9b01285" TargetMode="External"/><Relationship Id="rId106" Type="http://schemas.openxmlformats.org/officeDocument/2006/relationships/hyperlink" Target="https://doi.org/10.1093/ecam/neh140" TargetMode="External"/><Relationship Id="rId127" Type="http://schemas.openxmlformats.org/officeDocument/2006/relationships/hyperlink" Target="https://doi.org/10.1080/00438243.2018.1537092" TargetMode="External"/><Relationship Id="rId10" Type="http://schemas.openxmlformats.org/officeDocument/2006/relationships/hyperlink" Target="https://doi.org/10.1016/j.jep.2010.11.021" TargetMode="External"/><Relationship Id="rId31" Type="http://schemas.openxmlformats.org/officeDocument/2006/relationships/hyperlink" Target="https://doi.org/10.2174/138920008785821657" TargetMode="External"/><Relationship Id="rId52" Type="http://schemas.openxmlformats.org/officeDocument/2006/relationships/hyperlink" Target="https://doi.org/10.1016/S1875-5364(13)60037-0" TargetMode="External"/><Relationship Id="rId73" Type="http://schemas.openxmlformats.org/officeDocument/2006/relationships/hyperlink" Target="https://doi.org/10.1007/s00709-011-0291-4" TargetMode="External"/><Relationship Id="rId78" Type="http://schemas.openxmlformats.org/officeDocument/2006/relationships/hyperlink" Target="https://doi.org/10.3390/molecules24112130" TargetMode="External"/><Relationship Id="rId94" Type="http://schemas.openxmlformats.org/officeDocument/2006/relationships/hyperlink" Target="https://doi.org/10.1016/j.jep.2014.12.004" TargetMode="External"/><Relationship Id="rId99" Type="http://schemas.openxmlformats.org/officeDocument/2006/relationships/hyperlink" Target="https://doi.org/10.1177/070674371105600203" TargetMode="External"/><Relationship Id="rId101" Type="http://schemas.openxmlformats.org/officeDocument/2006/relationships/hyperlink" Target="https://doi.org/10.1016/S0140-6736(08)61690-6" TargetMode="External"/><Relationship Id="rId122" Type="http://schemas.openxmlformats.org/officeDocument/2006/relationships/hyperlink" Target="https://doi.org/10.1007/s10816-017-9340-4" TargetMode="External"/><Relationship Id="rId143" Type="http://schemas.openxmlformats.org/officeDocument/2006/relationships/hyperlink" Target="https://doi.org/10.1093/ije/dyh250" TargetMode="External"/><Relationship Id="rId148" Type="http://schemas.openxmlformats.org/officeDocument/2006/relationships/hyperlink" Target="https://doi.org/10.1186/1472-6882-5-11" TargetMode="External"/><Relationship Id="rId164" Type="http://schemas.openxmlformats.org/officeDocument/2006/relationships/hyperlink" Target="https://doi.org/10.1007/s00213-009-1549-9" TargetMode="External"/><Relationship Id="rId169" Type="http://schemas.openxmlformats.org/officeDocument/2006/relationships/hyperlink" Target="https://doi.org/10.1093/ecam/nel036" TargetMode="External"/><Relationship Id="rId185" Type="http://schemas.openxmlformats.org/officeDocument/2006/relationships/hyperlink" Target="https://doi.org/10.14430/arctic4475" TargetMode="External"/><Relationship Id="rId4" Type="http://schemas.openxmlformats.org/officeDocument/2006/relationships/settings" Target="settings.xml"/><Relationship Id="rId9" Type="http://schemas.openxmlformats.org/officeDocument/2006/relationships/hyperlink" Target="https://doi.org/10.1002/ptr.6024" TargetMode="External"/><Relationship Id="rId180" Type="http://schemas.openxmlformats.org/officeDocument/2006/relationships/hyperlink" Target="https://doi.org/10.1017/9781009157896" TargetMode="External"/><Relationship Id="rId26" Type="http://schemas.openxmlformats.org/officeDocument/2006/relationships/hyperlink" Target="https://doi.org/10.1016/j.jep.2005.05.027" TargetMode="External"/><Relationship Id="rId47" Type="http://schemas.openxmlformats.org/officeDocument/2006/relationships/hyperlink" Target="https://doi.org/10.1186/2047-783X-15-S2-109" TargetMode="External"/><Relationship Id="rId68" Type="http://schemas.openxmlformats.org/officeDocument/2006/relationships/hyperlink" Target="https://doi.org/10.1016/j.foodres.2009.12.006" TargetMode="External"/><Relationship Id="rId89" Type="http://schemas.openxmlformats.org/officeDocument/2006/relationships/hyperlink" Target="https://doi.org/10.1016/j.puhe.2009.10.020" TargetMode="External"/><Relationship Id="rId112" Type="http://schemas.openxmlformats.org/officeDocument/2006/relationships/hyperlink" Target="https://doi.org/10.1111/1468-2451.00382" TargetMode="External"/><Relationship Id="rId133" Type="http://schemas.openxmlformats.org/officeDocument/2006/relationships/hyperlink" Target="https://doi.org/10.1177/0898010105279985" TargetMode="External"/><Relationship Id="rId154" Type="http://schemas.openxmlformats.org/officeDocument/2006/relationships/hyperlink" Target="https://doi.org/10.1542/peds.2008-2173" TargetMode="External"/><Relationship Id="rId175" Type="http://schemas.openxmlformats.org/officeDocument/2006/relationships/hyperlink" Target="https://doi.org/10.1111/j.1472-4642.2007.00391.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995</TotalTime>
  <Pages>153</Pages>
  <Words>75089</Words>
  <Characters>428011</Characters>
  <Application>Microsoft Office Word</Application>
  <DocSecurity>0</DocSecurity>
  <Lines>3566</Lines>
  <Paragraphs>1004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cp:lastPrinted>2025-11-04T04:30:00Z</cp:lastPrinted>
  <dcterms:created xsi:type="dcterms:W3CDTF">2025-10-31T10:12:00Z</dcterms:created>
  <dcterms:modified xsi:type="dcterms:W3CDTF">2025-11-04T05:45:00Z</dcterms:modified>
</cp:coreProperties>
</file>